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318" w:tblpY="1"/>
        <w:tblOverlap w:val="never"/>
        <w:tblW w:w="15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9"/>
        <w:gridCol w:w="4698"/>
        <w:gridCol w:w="3806"/>
        <w:gridCol w:w="6520"/>
      </w:tblGrid>
      <w:tr w:rsidR="008659DF" w:rsidRPr="004D14D9" w14:paraId="6041A981" w14:textId="77777777" w:rsidTr="003C2BF1">
        <w:trPr>
          <w:tblHeader/>
        </w:trPr>
        <w:tc>
          <w:tcPr>
            <w:tcW w:w="569" w:type="dxa"/>
            <w:shd w:val="pct15" w:color="auto" w:fill="auto"/>
            <w:vAlign w:val="center"/>
          </w:tcPr>
          <w:p w14:paraId="14AE363B" w14:textId="77777777" w:rsidR="008659DF" w:rsidRPr="004D14D9" w:rsidRDefault="008659DF" w:rsidP="003C2BF1">
            <w:pPr>
              <w:spacing w:after="0" w:line="240" w:lineRule="auto"/>
              <w:jc w:val="center"/>
              <w:rPr>
                <w:rFonts w:ascii="Times New Roman" w:hAnsi="Times New Roman"/>
                <w:b/>
                <w:sz w:val="20"/>
                <w:szCs w:val="20"/>
              </w:rPr>
            </w:pPr>
            <w:r w:rsidRPr="004D14D9">
              <w:rPr>
                <w:rFonts w:ascii="Times New Roman" w:hAnsi="Times New Roman"/>
                <w:b/>
                <w:sz w:val="20"/>
                <w:szCs w:val="20"/>
              </w:rPr>
              <w:t>Nr. crt.</w:t>
            </w:r>
          </w:p>
        </w:tc>
        <w:tc>
          <w:tcPr>
            <w:tcW w:w="4698" w:type="dxa"/>
            <w:shd w:val="pct15" w:color="auto" w:fill="auto"/>
            <w:vAlign w:val="center"/>
          </w:tcPr>
          <w:p w14:paraId="7A633771" w14:textId="77777777" w:rsidR="008659DF" w:rsidRPr="004D14D9" w:rsidRDefault="008659DF" w:rsidP="003C2BF1">
            <w:pPr>
              <w:spacing w:after="0" w:line="240" w:lineRule="auto"/>
              <w:jc w:val="center"/>
              <w:rPr>
                <w:rFonts w:ascii="Times New Roman" w:hAnsi="Times New Roman"/>
                <w:b/>
                <w:sz w:val="20"/>
                <w:szCs w:val="20"/>
              </w:rPr>
            </w:pPr>
            <w:r w:rsidRPr="004D14D9">
              <w:rPr>
                <w:rFonts w:ascii="Times New Roman" w:hAnsi="Times New Roman"/>
                <w:b/>
                <w:sz w:val="20"/>
                <w:szCs w:val="20"/>
              </w:rPr>
              <w:t>TEXT PROPUS</w:t>
            </w:r>
          </w:p>
        </w:tc>
        <w:tc>
          <w:tcPr>
            <w:tcW w:w="3806" w:type="dxa"/>
            <w:shd w:val="pct15" w:color="auto" w:fill="auto"/>
            <w:vAlign w:val="center"/>
          </w:tcPr>
          <w:p w14:paraId="4B52EB3A" w14:textId="77777777" w:rsidR="008659DF" w:rsidRPr="004D14D9" w:rsidRDefault="008659DF" w:rsidP="003C2BF1">
            <w:pPr>
              <w:spacing w:after="0" w:line="240" w:lineRule="auto"/>
              <w:jc w:val="center"/>
              <w:rPr>
                <w:rFonts w:ascii="Times New Roman" w:hAnsi="Times New Roman"/>
                <w:b/>
                <w:sz w:val="20"/>
                <w:szCs w:val="20"/>
              </w:rPr>
            </w:pPr>
            <w:r w:rsidRPr="004D14D9">
              <w:rPr>
                <w:rFonts w:ascii="Times New Roman" w:hAnsi="Times New Roman"/>
                <w:b/>
                <w:sz w:val="20"/>
                <w:szCs w:val="20"/>
              </w:rPr>
              <w:t>TEXT ÎN VIGOARE</w:t>
            </w:r>
          </w:p>
        </w:tc>
        <w:tc>
          <w:tcPr>
            <w:tcW w:w="6520" w:type="dxa"/>
            <w:shd w:val="pct15" w:color="auto" w:fill="auto"/>
            <w:vAlign w:val="center"/>
          </w:tcPr>
          <w:p w14:paraId="4716EF9B" w14:textId="77777777" w:rsidR="008659DF" w:rsidRPr="004D14D9" w:rsidRDefault="008659DF" w:rsidP="003C2BF1">
            <w:pPr>
              <w:spacing w:after="0" w:line="240" w:lineRule="auto"/>
              <w:jc w:val="center"/>
              <w:rPr>
                <w:rFonts w:ascii="Times New Roman" w:hAnsi="Times New Roman"/>
                <w:b/>
                <w:sz w:val="20"/>
                <w:szCs w:val="20"/>
              </w:rPr>
            </w:pPr>
            <w:r w:rsidRPr="004D14D9">
              <w:rPr>
                <w:rFonts w:ascii="Times New Roman" w:hAnsi="Times New Roman"/>
                <w:b/>
                <w:sz w:val="20"/>
                <w:szCs w:val="20"/>
              </w:rPr>
              <w:t>FUNDAMENTARE</w:t>
            </w:r>
          </w:p>
        </w:tc>
      </w:tr>
      <w:tr w:rsidR="00233659" w:rsidRPr="004D14D9" w14:paraId="3D65B098" w14:textId="77777777" w:rsidTr="000F0562">
        <w:trPr>
          <w:trHeight w:val="849"/>
        </w:trPr>
        <w:tc>
          <w:tcPr>
            <w:tcW w:w="15593" w:type="dxa"/>
            <w:gridSpan w:val="4"/>
          </w:tcPr>
          <w:p w14:paraId="77533BBC" w14:textId="4068E63D" w:rsidR="00233659" w:rsidRPr="004D14D9" w:rsidRDefault="00233659" w:rsidP="003C2BF1">
            <w:pPr>
              <w:spacing w:after="0" w:line="240" w:lineRule="auto"/>
              <w:jc w:val="both"/>
              <w:rPr>
                <w:rFonts w:ascii="Times New Roman" w:hAnsi="Times New Roman"/>
                <w:sz w:val="20"/>
                <w:szCs w:val="20"/>
                <w:lang w:val="en-US"/>
              </w:rPr>
            </w:pPr>
            <w:r w:rsidRPr="004D14D9">
              <w:rPr>
                <w:rFonts w:ascii="Times New Roman" w:eastAsia="Times New Roman" w:hAnsi="Times New Roman"/>
                <w:sz w:val="20"/>
                <w:szCs w:val="20"/>
                <w:lang w:eastAsia="ro-RO"/>
              </w:rPr>
              <w:t>Art. I Ordonanţa de urgenţă a Guvernului nr. 66/2011 privind prevenirea, constatarea şi sancţionarea  neregulilor apărute în obţinerea şi utilizarea fondurilor europene şi/sau a fondurilor publice naţionale aferente acestora, publicată în Monitorul Oficial al României, Partea I, nr. 461 din 30 iunie 2011, aprobată cu modificări şi completări prin Legea nr. 142/2012, cu modificările şi completările ulterioare, se modifică și se completează după cum urmează:</w:t>
            </w:r>
          </w:p>
        </w:tc>
      </w:tr>
      <w:tr w:rsidR="00233659" w:rsidRPr="004D14D9" w14:paraId="3DB487F4" w14:textId="77777777" w:rsidTr="003C2BF1">
        <w:trPr>
          <w:trHeight w:val="849"/>
        </w:trPr>
        <w:tc>
          <w:tcPr>
            <w:tcW w:w="569" w:type="dxa"/>
          </w:tcPr>
          <w:p w14:paraId="19924B06" w14:textId="24693308" w:rsidR="00233659" w:rsidRPr="004D14D9" w:rsidRDefault="00233659" w:rsidP="003C2BF1">
            <w:pPr>
              <w:spacing w:after="0" w:line="240" w:lineRule="auto"/>
              <w:jc w:val="center"/>
              <w:rPr>
                <w:rFonts w:ascii="Times New Roman" w:hAnsi="Times New Roman"/>
                <w:b/>
                <w:sz w:val="20"/>
                <w:szCs w:val="20"/>
              </w:rPr>
            </w:pPr>
            <w:r w:rsidRPr="004D14D9">
              <w:rPr>
                <w:rFonts w:ascii="Times New Roman" w:hAnsi="Times New Roman"/>
                <w:b/>
                <w:sz w:val="20"/>
                <w:szCs w:val="20"/>
              </w:rPr>
              <w:t>1</w:t>
            </w:r>
          </w:p>
        </w:tc>
        <w:tc>
          <w:tcPr>
            <w:tcW w:w="4698" w:type="dxa"/>
          </w:tcPr>
          <w:p w14:paraId="6E56E250" w14:textId="77777777" w:rsidR="00233659" w:rsidRPr="004D14D9" w:rsidRDefault="00233659" w:rsidP="00233659">
            <w:pPr>
              <w:pStyle w:val="NormalWeb"/>
              <w:spacing w:before="0" w:beforeAutospacing="0" w:after="0" w:afterAutospacing="0"/>
              <w:jc w:val="both"/>
              <w:rPr>
                <w:b/>
                <w:sz w:val="20"/>
                <w:szCs w:val="20"/>
              </w:rPr>
            </w:pPr>
            <w:r w:rsidRPr="004D14D9">
              <w:rPr>
                <w:b/>
                <w:sz w:val="20"/>
                <w:szCs w:val="20"/>
              </w:rPr>
              <w:t>Art. 2 alin. (1) lit. aa)</w:t>
            </w:r>
          </w:p>
          <w:p w14:paraId="1C54EACA" w14:textId="5D1E552A" w:rsidR="00233659" w:rsidRPr="004D14D9" w:rsidRDefault="00233659" w:rsidP="001A7D0E">
            <w:pPr>
              <w:pStyle w:val="NormalWeb"/>
              <w:spacing w:before="0" w:beforeAutospacing="0" w:after="0" w:afterAutospacing="0"/>
              <w:jc w:val="both"/>
              <w:rPr>
                <w:b/>
                <w:sz w:val="20"/>
                <w:szCs w:val="20"/>
              </w:rPr>
            </w:pPr>
            <w:r w:rsidRPr="004D14D9">
              <w:rPr>
                <w:sz w:val="20"/>
                <w:szCs w:val="20"/>
              </w:rPr>
              <w:t xml:space="preserve">„aa) Decizie privind neeligibilitatea - </w:t>
            </w:r>
            <w:r w:rsidR="001A7D0E" w:rsidRPr="004D14D9">
              <w:rPr>
                <w:sz w:val="20"/>
                <w:szCs w:val="20"/>
              </w:rPr>
              <w:t xml:space="preserve">act administrativ, supus prevederilor Legii contenciosului administrativ nr. 554/2004, </w:t>
            </w:r>
            <w:r w:rsidRPr="004D14D9">
              <w:rPr>
                <w:sz w:val="20"/>
                <w:szCs w:val="20"/>
              </w:rPr>
              <w:t xml:space="preserve">emis de către autoritatea de certificare prin care aceasta stabilește nedeclararea/necertificarea cu caracter definitiv a unor cheltuieli considerate neeligibile aferente constatărilor cu implicații financiare, formulate în rapoartele sale finale de verificare și nevalorificate în urma investigațiilor efectuate de către structura de control prevăzută </w:t>
            </w:r>
            <w:r w:rsidR="00760A3B" w:rsidRPr="004D14D9">
              <w:rPr>
                <w:sz w:val="20"/>
                <w:szCs w:val="20"/>
              </w:rPr>
              <w:t>la</w:t>
            </w:r>
            <w:r w:rsidRPr="004D14D9">
              <w:rPr>
                <w:sz w:val="20"/>
                <w:szCs w:val="20"/>
              </w:rPr>
              <w:t xml:space="preserve"> art. 20 alin. (2) lit. d) și care nu constituie titlu de creanță în sensul prevederilor art. 21 alin (20) sau titlu executoriu în sensul prevederilor art. 43.”</w:t>
            </w:r>
          </w:p>
        </w:tc>
        <w:tc>
          <w:tcPr>
            <w:tcW w:w="3806" w:type="dxa"/>
            <w:vAlign w:val="center"/>
          </w:tcPr>
          <w:p w14:paraId="00C01769" w14:textId="6B859C26" w:rsidR="00233659" w:rsidRPr="004D14D9" w:rsidRDefault="00233659" w:rsidP="003C2BF1">
            <w:pPr>
              <w:spacing w:after="0" w:line="240" w:lineRule="auto"/>
              <w:rPr>
                <w:rFonts w:ascii="Times New Roman" w:hAnsi="Times New Roman"/>
                <w:sz w:val="20"/>
                <w:szCs w:val="20"/>
              </w:rPr>
            </w:pPr>
            <w:r w:rsidRPr="004D14D9">
              <w:rPr>
                <w:rFonts w:ascii="Times New Roman" w:hAnsi="Times New Roman"/>
                <w:sz w:val="20"/>
                <w:szCs w:val="20"/>
              </w:rPr>
              <w:t>Text nou</w:t>
            </w:r>
          </w:p>
        </w:tc>
        <w:tc>
          <w:tcPr>
            <w:tcW w:w="6520" w:type="dxa"/>
          </w:tcPr>
          <w:p w14:paraId="602D9693" w14:textId="77777777" w:rsidR="00233659" w:rsidRPr="004D14D9" w:rsidRDefault="00233659" w:rsidP="00233659">
            <w:pPr>
              <w:pStyle w:val="NoSpacing"/>
              <w:spacing w:before="60" w:after="60"/>
              <w:jc w:val="both"/>
              <w:rPr>
                <w:rFonts w:ascii="Times New Roman" w:hAnsi="Times New Roman"/>
                <w:sz w:val="20"/>
                <w:szCs w:val="20"/>
                <w:lang w:val="ro-RO"/>
              </w:rPr>
            </w:pPr>
            <w:r w:rsidRPr="004D14D9">
              <w:rPr>
                <w:rFonts w:ascii="Times New Roman" w:hAnsi="Times New Roman"/>
                <w:sz w:val="20"/>
                <w:szCs w:val="20"/>
                <w:lang w:val="ro-RO"/>
              </w:rPr>
              <w:t>Este necesară introducerea definiției deciziei privind neeligibilitatea pentru clarificarea rolului Autorității de Certificare în relație cu activitatea structurii de control din cadrul Ministerului Finanțelor Publice. Astfel, în cazul în care titlul de creanță emis de structura de control nu confirmă constatările cu implicații financiare din rapoartele de verificare ale autorității de certificare, aceasta poate emite decizia privind neeligibilitatea.</w:t>
            </w:r>
          </w:p>
          <w:p w14:paraId="644ECA52" w14:textId="4FF67844" w:rsidR="00233659" w:rsidRPr="004D14D9" w:rsidRDefault="00233659" w:rsidP="00233659">
            <w:pPr>
              <w:pStyle w:val="NoSpacing"/>
              <w:spacing w:before="60" w:after="60"/>
              <w:jc w:val="both"/>
              <w:rPr>
                <w:rFonts w:ascii="Times New Roman" w:hAnsi="Times New Roman"/>
                <w:sz w:val="20"/>
                <w:szCs w:val="20"/>
                <w:lang w:val="ro-RO"/>
              </w:rPr>
            </w:pPr>
            <w:r w:rsidRPr="004D14D9">
              <w:rPr>
                <w:rFonts w:ascii="Times New Roman" w:hAnsi="Times New Roman"/>
                <w:sz w:val="20"/>
                <w:szCs w:val="20"/>
                <w:lang w:val="ro-RO"/>
              </w:rPr>
              <w:t>De asemenea, ulterior emiterii titlului de creanță de către structura de control, autoritatea de certificare poate decide că sumele care au făcut obiectul investigațiilor, pot fi declarate/certificate, fapt care se va stabili la momentul verificării îndeplinirii constatărilor din rapoartele sale de verificare.</w:t>
            </w:r>
          </w:p>
        </w:tc>
      </w:tr>
      <w:tr w:rsidR="008659DF" w:rsidRPr="004D14D9" w14:paraId="64D7C357" w14:textId="77777777" w:rsidTr="003C2BF1">
        <w:trPr>
          <w:trHeight w:val="561"/>
        </w:trPr>
        <w:tc>
          <w:tcPr>
            <w:tcW w:w="569" w:type="dxa"/>
          </w:tcPr>
          <w:p w14:paraId="0EC35055" w14:textId="274146D4" w:rsidR="008659DF" w:rsidRPr="004D14D9" w:rsidRDefault="008659DF" w:rsidP="003C2BF1">
            <w:pPr>
              <w:spacing w:after="0" w:line="240" w:lineRule="auto"/>
              <w:jc w:val="center"/>
              <w:rPr>
                <w:rFonts w:ascii="Times New Roman" w:hAnsi="Times New Roman"/>
                <w:b/>
                <w:sz w:val="20"/>
                <w:szCs w:val="20"/>
              </w:rPr>
            </w:pPr>
            <w:r w:rsidRPr="004D14D9">
              <w:rPr>
                <w:rFonts w:ascii="Times New Roman" w:hAnsi="Times New Roman"/>
                <w:b/>
                <w:sz w:val="20"/>
                <w:szCs w:val="20"/>
              </w:rPr>
              <w:t>2</w:t>
            </w:r>
          </w:p>
        </w:tc>
        <w:tc>
          <w:tcPr>
            <w:tcW w:w="4698" w:type="dxa"/>
          </w:tcPr>
          <w:p w14:paraId="60A2EEB8" w14:textId="77777777" w:rsidR="008659DF" w:rsidRPr="004D14D9" w:rsidRDefault="008659DF" w:rsidP="003C2BF1">
            <w:pPr>
              <w:pStyle w:val="NormalWeb"/>
              <w:spacing w:before="0" w:beforeAutospacing="0" w:after="0" w:afterAutospacing="0"/>
              <w:jc w:val="both"/>
              <w:rPr>
                <w:rFonts w:eastAsia="Calibri"/>
                <w:b/>
                <w:sz w:val="20"/>
                <w:szCs w:val="20"/>
                <w:lang w:eastAsia="en-US"/>
              </w:rPr>
            </w:pPr>
            <w:r w:rsidRPr="004D14D9">
              <w:rPr>
                <w:rFonts w:eastAsia="Calibri"/>
                <w:b/>
                <w:sz w:val="20"/>
                <w:szCs w:val="20"/>
                <w:lang w:eastAsia="en-US"/>
              </w:rPr>
              <w:t>Art. 6 alin. (3)</w:t>
            </w:r>
          </w:p>
          <w:p w14:paraId="72F1EEEB" w14:textId="77777777" w:rsidR="008659DF" w:rsidRPr="004D14D9" w:rsidRDefault="008659DF" w:rsidP="003C2BF1">
            <w:pPr>
              <w:widowControl w:val="0"/>
              <w:tabs>
                <w:tab w:val="left" w:pos="1060"/>
              </w:tabs>
              <w:spacing w:after="0" w:line="240" w:lineRule="auto"/>
              <w:jc w:val="both"/>
              <w:rPr>
                <w:rFonts w:ascii="Times New Roman" w:hAnsi="Times New Roman"/>
                <w:sz w:val="20"/>
                <w:szCs w:val="20"/>
              </w:rPr>
            </w:pPr>
            <w:r w:rsidRPr="004D14D9">
              <w:rPr>
                <w:rFonts w:ascii="Times New Roman" w:hAnsi="Times New Roman"/>
                <w:sz w:val="20"/>
                <w:szCs w:val="20"/>
              </w:rPr>
              <w:t xml:space="preserve">”(3) În aplicarea prevederilor alin. (1), autorităţile cu competenţe în gestionarea fondurilor europene au obligaţia aplicării de reduceri procentuale din sumele solicitate la plată de către beneficiari, în situaţia în care constată cel puţin una din abaterile prevăzute în </w:t>
            </w:r>
            <w:r w:rsidRPr="004D14D9">
              <w:rPr>
                <w:rFonts w:ascii="Times New Roman" w:hAnsi="Times New Roman"/>
                <w:b/>
                <w:sz w:val="20"/>
                <w:szCs w:val="20"/>
              </w:rPr>
              <w:t xml:space="preserve">anexele </w:t>
            </w:r>
            <w:r w:rsidRPr="004D14D9">
              <w:rPr>
                <w:rFonts w:ascii="Times New Roman" w:hAnsi="Times New Roman"/>
                <w:sz w:val="20"/>
                <w:szCs w:val="20"/>
              </w:rPr>
              <w:t>care fac parte integrantă din prezenta ordonanţă de urgenţă, în raport cu:</w:t>
            </w:r>
          </w:p>
          <w:p w14:paraId="4667A52E" w14:textId="65BC7F12" w:rsidR="008659DF" w:rsidRPr="004D14D9" w:rsidRDefault="008659DF" w:rsidP="003C2BF1">
            <w:pPr>
              <w:widowControl w:val="0"/>
              <w:tabs>
                <w:tab w:val="left" w:pos="1060"/>
              </w:tabs>
              <w:spacing w:after="0" w:line="240" w:lineRule="auto"/>
              <w:jc w:val="both"/>
              <w:rPr>
                <w:rFonts w:ascii="Times New Roman" w:hAnsi="Times New Roman"/>
                <w:sz w:val="20"/>
                <w:szCs w:val="20"/>
              </w:rPr>
            </w:pPr>
            <w:r w:rsidRPr="004D14D9">
              <w:rPr>
                <w:rFonts w:ascii="Times New Roman" w:hAnsi="Times New Roman"/>
                <w:sz w:val="20"/>
                <w:szCs w:val="20"/>
              </w:rPr>
              <w:t xml:space="preserve">a) </w:t>
            </w:r>
            <w:r w:rsidR="00A2503A" w:rsidRPr="004D14D9">
              <w:rPr>
                <w:rFonts w:ascii="Times New Roman" w:hAnsi="Times New Roman"/>
                <w:sz w:val="20"/>
                <w:szCs w:val="20"/>
              </w:rPr>
              <w:t xml:space="preserve">reglementările naţionale  aplicabile în domeniul </w:t>
            </w:r>
            <w:r w:rsidR="00A2503A" w:rsidRPr="004D14D9">
              <w:rPr>
                <w:rFonts w:ascii="Times New Roman" w:hAnsi="Times New Roman"/>
                <w:b/>
                <w:sz w:val="20"/>
                <w:szCs w:val="20"/>
              </w:rPr>
              <w:t>achiziţiilor publice/ achizițiilor sectoriale/concesiunilor de lucrări și servicii</w:t>
            </w:r>
            <w:r w:rsidR="00A2503A" w:rsidRPr="004D14D9">
              <w:rPr>
                <w:rFonts w:ascii="Times New Roman" w:hAnsi="Times New Roman"/>
                <w:sz w:val="20"/>
                <w:szCs w:val="20"/>
              </w:rPr>
              <w:t>;</w:t>
            </w:r>
          </w:p>
          <w:p w14:paraId="2BF97561" w14:textId="5B96D489" w:rsidR="00A2503A" w:rsidRPr="004D14D9" w:rsidRDefault="00A2503A" w:rsidP="003C2BF1">
            <w:pPr>
              <w:widowControl w:val="0"/>
              <w:tabs>
                <w:tab w:val="left" w:pos="1060"/>
              </w:tabs>
              <w:spacing w:after="0" w:line="240" w:lineRule="auto"/>
              <w:jc w:val="both"/>
              <w:rPr>
                <w:rFonts w:ascii="Times New Roman" w:hAnsi="Times New Roman"/>
                <w:sz w:val="20"/>
                <w:szCs w:val="20"/>
              </w:rPr>
            </w:pPr>
            <w:r w:rsidRPr="004D14D9">
              <w:rPr>
                <w:rFonts w:ascii="Times New Roman" w:hAnsi="Times New Roman"/>
                <w:sz w:val="20"/>
                <w:szCs w:val="20"/>
              </w:rPr>
              <w:t xml:space="preserve">b) reglementările </w:t>
            </w:r>
            <w:r w:rsidRPr="004D14D9">
              <w:rPr>
                <w:rFonts w:ascii="Times New Roman" w:hAnsi="Times New Roman"/>
                <w:b/>
                <w:sz w:val="20"/>
                <w:szCs w:val="20"/>
              </w:rPr>
              <w:t>europene</w:t>
            </w:r>
            <w:r w:rsidRPr="004D14D9">
              <w:rPr>
                <w:rFonts w:ascii="Times New Roman" w:hAnsi="Times New Roman"/>
                <w:sz w:val="20"/>
                <w:szCs w:val="20"/>
              </w:rPr>
              <w:t xml:space="preserve"> aferente programelor cărora le sunt aplicabile alte prevederi decât Ordonanţa de urgenţă a Guvernului nr. 34/2006 privind atribuirea contractelor de achiziţie publică, a contractelor de concesiune de lucrări publice şi a contractelor de concesiune de servicii, aprobată cu modificări şi completări prin Legea nr. 337/2006, cu modificările şi completările ulterioare;</w:t>
            </w:r>
          </w:p>
          <w:p w14:paraId="1138C0A3" w14:textId="47E80AF7" w:rsidR="008659DF" w:rsidRPr="004D14D9" w:rsidRDefault="008659DF" w:rsidP="003C2BF1">
            <w:pPr>
              <w:widowControl w:val="0"/>
              <w:tabs>
                <w:tab w:val="left" w:pos="1060"/>
              </w:tabs>
              <w:spacing w:after="0" w:line="240" w:lineRule="auto"/>
              <w:jc w:val="both"/>
              <w:rPr>
                <w:rFonts w:ascii="Times New Roman" w:hAnsi="Times New Roman"/>
                <w:sz w:val="20"/>
                <w:szCs w:val="20"/>
              </w:rPr>
            </w:pPr>
          </w:p>
          <w:p w14:paraId="52D85E4B" w14:textId="77777777" w:rsidR="008659DF" w:rsidRPr="004D14D9" w:rsidRDefault="008659DF" w:rsidP="003C2BF1">
            <w:pPr>
              <w:widowControl w:val="0"/>
              <w:tabs>
                <w:tab w:val="left" w:pos="1060"/>
              </w:tabs>
              <w:spacing w:after="0" w:line="240" w:lineRule="auto"/>
              <w:jc w:val="both"/>
              <w:rPr>
                <w:rFonts w:ascii="Times New Roman" w:hAnsi="Times New Roman"/>
                <w:sz w:val="20"/>
                <w:szCs w:val="20"/>
              </w:rPr>
            </w:pPr>
            <w:r w:rsidRPr="004D14D9">
              <w:rPr>
                <w:rFonts w:ascii="Times New Roman" w:hAnsi="Times New Roman"/>
                <w:sz w:val="20"/>
                <w:szCs w:val="20"/>
              </w:rPr>
              <w:lastRenderedPageBreak/>
              <w:t>c) procedurile sau instrucţiunile specifice de achiziţii aplicabile beneficiarilor privaţi, alţii decât autorităţile contractante.”</w:t>
            </w:r>
          </w:p>
          <w:p w14:paraId="43B1B64E" w14:textId="13ABA302" w:rsidR="001A7D0E" w:rsidRPr="004D14D9" w:rsidRDefault="001A7D0E" w:rsidP="001A7D0E">
            <w:pPr>
              <w:widowControl w:val="0"/>
              <w:tabs>
                <w:tab w:val="left" w:pos="1060"/>
              </w:tabs>
              <w:spacing w:after="0" w:line="240" w:lineRule="auto"/>
              <w:jc w:val="both"/>
              <w:rPr>
                <w:rFonts w:ascii="Times New Roman" w:hAnsi="Times New Roman"/>
                <w:sz w:val="20"/>
                <w:szCs w:val="20"/>
              </w:rPr>
            </w:pPr>
            <w:r w:rsidRPr="004D14D9">
              <w:rPr>
                <w:rFonts w:ascii="Times New Roman" w:hAnsi="Times New Roman"/>
                <w:sz w:val="20"/>
                <w:szCs w:val="20"/>
              </w:rPr>
              <w:t xml:space="preserve">d)  reglementările </w:t>
            </w:r>
            <w:r w:rsidRPr="004D14D9">
              <w:rPr>
                <w:rFonts w:ascii="Times New Roman" w:hAnsi="Times New Roman"/>
                <w:b/>
                <w:sz w:val="20"/>
                <w:szCs w:val="20"/>
              </w:rPr>
              <w:t>europene</w:t>
            </w:r>
            <w:r w:rsidRPr="004D14D9">
              <w:rPr>
                <w:rFonts w:ascii="Times New Roman" w:hAnsi="Times New Roman"/>
                <w:sz w:val="20"/>
                <w:szCs w:val="20"/>
              </w:rPr>
              <w:t xml:space="preserve"> aferente programelor cărora le sunt aplicabile alte prevederi decât </w:t>
            </w:r>
            <w:r w:rsidRPr="004D14D9">
              <w:rPr>
                <w:rFonts w:ascii="Times New Roman" w:hAnsi="Times New Roman"/>
                <w:b/>
                <w:sz w:val="20"/>
                <w:szCs w:val="20"/>
              </w:rPr>
              <w:t>Legea nr. 98/2016 privind achiziţiile publice, cu modificările şi completările ulterioare, Legea nr. 99/2016 privind achizițiile sectoriale, cu modificările și completările ulterioare și Legea nr. 100/2016</w:t>
            </w:r>
            <w:r w:rsidRPr="004D14D9">
              <w:rPr>
                <w:rFonts w:ascii="Times New Roman" w:hAnsi="Times New Roman"/>
                <w:sz w:val="20"/>
                <w:szCs w:val="20"/>
              </w:rPr>
              <w:t xml:space="preserve">  </w:t>
            </w:r>
            <w:r w:rsidRPr="004D14D9">
              <w:rPr>
                <w:rFonts w:ascii="Times New Roman" w:hAnsi="Times New Roman"/>
                <w:b/>
                <w:sz w:val="20"/>
                <w:szCs w:val="20"/>
              </w:rPr>
              <w:t>privind concesiunile de lucrări și concesiunile de servicii, cu modificările și completările ulterioare</w:t>
            </w:r>
            <w:r w:rsidRPr="004D14D9">
              <w:rPr>
                <w:rFonts w:ascii="Times New Roman" w:hAnsi="Times New Roman"/>
                <w:sz w:val="20"/>
                <w:szCs w:val="20"/>
              </w:rPr>
              <w:t>;</w:t>
            </w:r>
          </w:p>
          <w:p w14:paraId="75ED93AF" w14:textId="51A64075" w:rsidR="001A7D0E" w:rsidRPr="004D14D9" w:rsidRDefault="001A7D0E" w:rsidP="003C2BF1">
            <w:pPr>
              <w:widowControl w:val="0"/>
              <w:tabs>
                <w:tab w:val="left" w:pos="1060"/>
              </w:tabs>
              <w:spacing w:after="0" w:line="240" w:lineRule="auto"/>
              <w:jc w:val="both"/>
              <w:rPr>
                <w:rFonts w:ascii="Times New Roman" w:hAnsi="Times New Roman"/>
                <w:sz w:val="20"/>
                <w:szCs w:val="20"/>
              </w:rPr>
            </w:pPr>
          </w:p>
        </w:tc>
        <w:tc>
          <w:tcPr>
            <w:tcW w:w="3806" w:type="dxa"/>
            <w:vAlign w:val="center"/>
          </w:tcPr>
          <w:p w14:paraId="4323C6BC" w14:textId="77777777" w:rsidR="008659DF" w:rsidRPr="004D14D9" w:rsidRDefault="008659DF" w:rsidP="003C2BF1">
            <w:pPr>
              <w:pStyle w:val="NormalWeb"/>
              <w:spacing w:before="0" w:beforeAutospacing="0" w:after="0" w:afterAutospacing="0"/>
              <w:jc w:val="both"/>
              <w:rPr>
                <w:rFonts w:eastAsia="Calibri"/>
                <w:b/>
                <w:sz w:val="20"/>
                <w:szCs w:val="20"/>
                <w:lang w:eastAsia="en-US"/>
              </w:rPr>
            </w:pPr>
            <w:r w:rsidRPr="004D14D9">
              <w:rPr>
                <w:rFonts w:eastAsia="Calibri"/>
                <w:b/>
                <w:sz w:val="20"/>
                <w:szCs w:val="20"/>
                <w:lang w:eastAsia="en-US"/>
              </w:rPr>
              <w:lastRenderedPageBreak/>
              <w:t>Art. 6 alin. (3)</w:t>
            </w:r>
          </w:p>
          <w:p w14:paraId="06453FF5" w14:textId="77777777" w:rsidR="008659DF" w:rsidRPr="004D14D9" w:rsidRDefault="008659DF" w:rsidP="003C2BF1">
            <w:pPr>
              <w:spacing w:after="0" w:line="240" w:lineRule="auto"/>
              <w:jc w:val="both"/>
              <w:rPr>
                <w:rFonts w:ascii="Times New Roman" w:hAnsi="Times New Roman"/>
                <w:sz w:val="20"/>
                <w:szCs w:val="20"/>
              </w:rPr>
            </w:pPr>
            <w:r w:rsidRPr="004D14D9">
              <w:rPr>
                <w:rFonts w:ascii="Times New Roman" w:hAnsi="Times New Roman"/>
                <w:sz w:val="20"/>
                <w:szCs w:val="20"/>
              </w:rPr>
              <w:t>”(3) În aplicarea prevederilor alin. (1), autorităţile cu competenţe în gestionarea fondurilor europene au obligaţia aplicării de reduceri procentuale din sumele solicitate la plată de către beneficiari, în situaţia în care constată cel puţin una din abaterile prevăzute în anexa care face parte integrantă din prezenta ordonanţă de urgenţă, în raport cu: </w:t>
            </w:r>
            <w:r w:rsidRPr="004D14D9">
              <w:rPr>
                <w:rFonts w:ascii="Times New Roman" w:hAnsi="Times New Roman"/>
                <w:sz w:val="20"/>
                <w:szCs w:val="20"/>
              </w:rPr>
              <w:br/>
              <w:t>a) reglementările naţionale în vigoare în domeniul achiziţiilor publice;</w:t>
            </w:r>
          </w:p>
          <w:p w14:paraId="3647935E" w14:textId="29B356FF" w:rsidR="008659DF" w:rsidRPr="004D14D9" w:rsidRDefault="008659DF" w:rsidP="003C2BF1">
            <w:pPr>
              <w:spacing w:after="0" w:line="240" w:lineRule="auto"/>
              <w:jc w:val="both"/>
              <w:rPr>
                <w:rFonts w:ascii="Times New Roman" w:hAnsi="Times New Roman"/>
                <w:sz w:val="20"/>
                <w:szCs w:val="20"/>
              </w:rPr>
            </w:pPr>
            <w:r w:rsidRPr="004D14D9">
              <w:rPr>
                <w:rFonts w:ascii="Times New Roman" w:hAnsi="Times New Roman"/>
                <w:sz w:val="20"/>
                <w:szCs w:val="20"/>
              </w:rPr>
              <w:t>b) reglementările comunitare aferente programelor cărora le sunt aplicabile alte prevederi decât </w:t>
            </w:r>
            <w:bookmarkStart w:id="0" w:name="REF26"/>
            <w:bookmarkEnd w:id="0"/>
            <w:r w:rsidRPr="004D14D9">
              <w:rPr>
                <w:rFonts w:ascii="Times New Roman" w:hAnsi="Times New Roman"/>
                <w:sz w:val="20"/>
                <w:szCs w:val="20"/>
              </w:rPr>
              <w:t xml:space="preserve">Ordonanţa de urgenţă a Guvernului nr. 34/2006 privind atribuirea contractelor de achiziţie publică, a contractelor de concesiune de lucrări publice şi a contractelor de concesiune de servicii, aprobată cu modificări şi completări </w:t>
            </w:r>
            <w:r w:rsidRPr="004D14D9">
              <w:rPr>
                <w:rFonts w:ascii="Times New Roman" w:hAnsi="Times New Roman"/>
                <w:sz w:val="20"/>
                <w:szCs w:val="20"/>
              </w:rPr>
              <w:lastRenderedPageBreak/>
              <w:t>prin </w:t>
            </w:r>
            <w:bookmarkStart w:id="1" w:name="REF27"/>
            <w:bookmarkEnd w:id="1"/>
            <w:r w:rsidRPr="004D14D9">
              <w:rPr>
                <w:rFonts w:ascii="Times New Roman" w:hAnsi="Times New Roman"/>
                <w:sz w:val="20"/>
                <w:szCs w:val="20"/>
              </w:rPr>
              <w:t>Legea nr. 337/2006, cu modificările şi completările ulterioare;</w:t>
            </w:r>
            <w:r w:rsidRPr="004D14D9">
              <w:rPr>
                <w:rFonts w:ascii="Times New Roman" w:hAnsi="Times New Roman"/>
                <w:sz w:val="20"/>
                <w:szCs w:val="20"/>
              </w:rPr>
              <w:br/>
              <w:t>c) procedurile sau instrucţiunile specifice de achiziţii aplicabile beneficiarilor privaţi, alţii decât autorităţile contractante.”</w:t>
            </w:r>
          </w:p>
        </w:tc>
        <w:tc>
          <w:tcPr>
            <w:tcW w:w="6520" w:type="dxa"/>
          </w:tcPr>
          <w:p w14:paraId="78DACEE4" w14:textId="77777777" w:rsidR="008659DF" w:rsidRPr="004D14D9" w:rsidRDefault="008659DF" w:rsidP="003C2BF1">
            <w:pPr>
              <w:spacing w:after="0" w:line="240" w:lineRule="auto"/>
              <w:jc w:val="both"/>
              <w:rPr>
                <w:rFonts w:ascii="Times New Roman" w:hAnsi="Times New Roman"/>
                <w:sz w:val="20"/>
                <w:szCs w:val="20"/>
              </w:rPr>
            </w:pPr>
            <w:r w:rsidRPr="004D14D9">
              <w:rPr>
                <w:rFonts w:ascii="Times New Roman" w:hAnsi="Times New Roman"/>
                <w:sz w:val="20"/>
                <w:szCs w:val="20"/>
              </w:rPr>
              <w:lastRenderedPageBreak/>
              <w:t xml:space="preserve">Având în vedere faptul că la data de 14 mai 2019, Comisia Europeană a aprobat, prin Decizia CE C(2019) 3452, Ghidul privind stabilirea corecțiilor financiare pentru abateri de la respectarea normelor de achiziții publice pentru cheltuielile finanțate de Uniunea Europeană, este necesară introducerea noii anexe. </w:t>
            </w:r>
          </w:p>
          <w:p w14:paraId="3A40DF36" w14:textId="4556985B" w:rsidR="008659DF" w:rsidRPr="004D14D9" w:rsidRDefault="008659DF" w:rsidP="003C2BF1">
            <w:pPr>
              <w:spacing w:after="0" w:line="240" w:lineRule="auto"/>
              <w:jc w:val="both"/>
              <w:rPr>
                <w:rFonts w:ascii="Times New Roman" w:hAnsi="Times New Roman"/>
                <w:i/>
                <w:sz w:val="20"/>
                <w:szCs w:val="20"/>
              </w:rPr>
            </w:pPr>
            <w:r w:rsidRPr="004D14D9">
              <w:rPr>
                <w:rFonts w:ascii="Times New Roman" w:hAnsi="Times New Roman"/>
                <w:sz w:val="20"/>
                <w:szCs w:val="20"/>
              </w:rPr>
              <w:t xml:space="preserve">O dată cu adoptarea Tratatului Constituțional de la Lisabona Uniunea Europeană a dobândit personalitate juridică succedând comunitățile europene. Prin urmare a fost înlocuită sintagma </w:t>
            </w:r>
            <w:r w:rsidRPr="004D14D9">
              <w:rPr>
                <w:rFonts w:ascii="Times New Roman" w:hAnsi="Times New Roman"/>
                <w:i/>
                <w:sz w:val="20"/>
                <w:szCs w:val="20"/>
              </w:rPr>
              <w:t>comunitare</w:t>
            </w:r>
            <w:r w:rsidRPr="004D14D9">
              <w:rPr>
                <w:rFonts w:ascii="Times New Roman" w:hAnsi="Times New Roman"/>
                <w:sz w:val="20"/>
                <w:szCs w:val="20"/>
              </w:rPr>
              <w:t xml:space="preserve"> cu </w:t>
            </w:r>
            <w:r w:rsidRPr="004D14D9">
              <w:rPr>
                <w:rFonts w:ascii="Times New Roman" w:hAnsi="Times New Roman"/>
                <w:i/>
                <w:sz w:val="20"/>
                <w:szCs w:val="20"/>
              </w:rPr>
              <w:t>europene.</w:t>
            </w:r>
          </w:p>
          <w:p w14:paraId="47B6F07D" w14:textId="68930840" w:rsidR="008659DF" w:rsidRPr="004D14D9" w:rsidRDefault="008659DF" w:rsidP="003C2BF1">
            <w:pPr>
              <w:pStyle w:val="NoSpacing"/>
              <w:spacing w:before="60" w:after="60"/>
              <w:ind w:left="57"/>
              <w:jc w:val="both"/>
              <w:rPr>
                <w:rFonts w:ascii="Times New Roman" w:hAnsi="Times New Roman"/>
                <w:sz w:val="20"/>
                <w:szCs w:val="20"/>
                <w:lang w:val="ro-RO"/>
              </w:rPr>
            </w:pPr>
            <w:r w:rsidRPr="004D14D9">
              <w:rPr>
                <w:rFonts w:ascii="Times New Roman" w:hAnsi="Times New Roman"/>
                <w:sz w:val="20"/>
                <w:szCs w:val="20"/>
                <w:lang w:val="ro-RO"/>
              </w:rPr>
              <w:t>Ca urmare a modificărilor cadrului legislativ aplicabil domeniul</w:t>
            </w:r>
            <w:r w:rsidR="007D1424" w:rsidRPr="004D14D9">
              <w:rPr>
                <w:rFonts w:ascii="Times New Roman" w:hAnsi="Times New Roman"/>
                <w:sz w:val="20"/>
                <w:szCs w:val="20"/>
                <w:lang w:val="ro-RO"/>
              </w:rPr>
              <w:t>ui</w:t>
            </w:r>
            <w:r w:rsidRPr="004D14D9">
              <w:rPr>
                <w:rFonts w:ascii="Times New Roman" w:hAnsi="Times New Roman"/>
                <w:sz w:val="20"/>
                <w:szCs w:val="20"/>
                <w:lang w:val="ro-RO"/>
              </w:rPr>
              <w:t xml:space="preserve"> achizițiilor publice este necesară introducerea </w:t>
            </w:r>
            <w:r w:rsidR="00331D16" w:rsidRPr="004D14D9">
              <w:rPr>
                <w:rFonts w:ascii="Times New Roman" w:hAnsi="Times New Roman"/>
                <w:sz w:val="20"/>
                <w:szCs w:val="20"/>
                <w:lang w:val="ro-RO"/>
              </w:rPr>
              <w:t xml:space="preserve">referinței </w:t>
            </w:r>
            <w:r w:rsidR="00A2503A" w:rsidRPr="004D14D9">
              <w:rPr>
                <w:rFonts w:ascii="Times New Roman" w:hAnsi="Times New Roman"/>
                <w:sz w:val="20"/>
                <w:szCs w:val="20"/>
                <w:lang w:val="ro-RO"/>
              </w:rPr>
              <w:t>la reglementările europene aferente programelor cărora le sunt aplicabile alte prevederi decât Legea nr. 98/2016 privind achiziţiile publice, cu modificările şi completările ulterioare, Legea nr. 99/2016 privind achizițiile sectoriale, cu modificările și completările ulterioare și Legea nr. 100/2016  privind concesiunile de lucrări și concesiunile de servicii, cu modificările și completările ulterioare</w:t>
            </w:r>
            <w:r w:rsidRPr="004D14D9">
              <w:rPr>
                <w:rFonts w:ascii="Times New Roman" w:hAnsi="Times New Roman"/>
                <w:sz w:val="20"/>
                <w:szCs w:val="20"/>
                <w:lang w:val="ro-RO"/>
              </w:rPr>
              <w:t>.</w:t>
            </w:r>
          </w:p>
          <w:p w14:paraId="72ED3B1D" w14:textId="0E29542A" w:rsidR="008659DF" w:rsidRPr="004D14D9" w:rsidRDefault="008659DF" w:rsidP="003C2BF1">
            <w:pPr>
              <w:spacing w:after="0" w:line="240" w:lineRule="auto"/>
              <w:jc w:val="both"/>
              <w:rPr>
                <w:rFonts w:ascii="Times New Roman" w:hAnsi="Times New Roman"/>
                <w:sz w:val="20"/>
                <w:szCs w:val="20"/>
              </w:rPr>
            </w:pPr>
          </w:p>
        </w:tc>
      </w:tr>
      <w:tr w:rsidR="008659DF" w:rsidRPr="004D14D9" w14:paraId="6C2522A2" w14:textId="77777777" w:rsidTr="003C2BF1">
        <w:trPr>
          <w:trHeight w:val="849"/>
        </w:trPr>
        <w:tc>
          <w:tcPr>
            <w:tcW w:w="569" w:type="dxa"/>
          </w:tcPr>
          <w:p w14:paraId="39B47191" w14:textId="65BFE7B7" w:rsidR="008659DF" w:rsidRPr="004D14D9" w:rsidRDefault="008659DF" w:rsidP="003C2BF1">
            <w:pPr>
              <w:spacing w:after="0" w:line="240" w:lineRule="auto"/>
              <w:jc w:val="center"/>
              <w:rPr>
                <w:rFonts w:ascii="Times New Roman" w:hAnsi="Times New Roman"/>
                <w:b/>
                <w:sz w:val="20"/>
                <w:szCs w:val="20"/>
              </w:rPr>
            </w:pPr>
            <w:r w:rsidRPr="004D14D9">
              <w:rPr>
                <w:rFonts w:ascii="Times New Roman" w:hAnsi="Times New Roman"/>
                <w:b/>
                <w:sz w:val="20"/>
                <w:szCs w:val="20"/>
              </w:rPr>
              <w:lastRenderedPageBreak/>
              <w:t xml:space="preserve">3 </w:t>
            </w:r>
          </w:p>
        </w:tc>
        <w:tc>
          <w:tcPr>
            <w:tcW w:w="4698" w:type="dxa"/>
          </w:tcPr>
          <w:p w14:paraId="662F6049" w14:textId="77777777" w:rsidR="008659DF" w:rsidRPr="004D14D9" w:rsidRDefault="008659DF" w:rsidP="003C2BF1">
            <w:pPr>
              <w:pStyle w:val="NormalWeb"/>
              <w:spacing w:before="0" w:beforeAutospacing="0" w:after="0" w:afterAutospacing="0"/>
              <w:jc w:val="both"/>
              <w:rPr>
                <w:b/>
                <w:sz w:val="20"/>
                <w:szCs w:val="20"/>
              </w:rPr>
            </w:pPr>
            <w:r w:rsidRPr="004D14D9">
              <w:rPr>
                <w:b/>
                <w:sz w:val="20"/>
                <w:szCs w:val="20"/>
              </w:rPr>
              <w:t>Art. 6 alin. (3</w:t>
            </w:r>
            <w:r w:rsidRPr="004D14D9">
              <w:rPr>
                <w:b/>
                <w:sz w:val="20"/>
                <w:szCs w:val="20"/>
                <w:vertAlign w:val="superscript"/>
              </w:rPr>
              <w:t>2</w:t>
            </w:r>
            <w:r w:rsidRPr="004D14D9">
              <w:rPr>
                <w:b/>
                <w:sz w:val="20"/>
                <w:szCs w:val="20"/>
              </w:rPr>
              <w:t>)</w:t>
            </w:r>
          </w:p>
          <w:p w14:paraId="5A758E1B" w14:textId="077FB509" w:rsidR="008659DF" w:rsidRPr="004D14D9" w:rsidRDefault="008659DF" w:rsidP="003C2BF1">
            <w:pPr>
              <w:widowControl w:val="0"/>
              <w:tabs>
                <w:tab w:val="left" w:pos="1060"/>
              </w:tabs>
              <w:spacing w:after="0" w:line="240" w:lineRule="auto"/>
              <w:jc w:val="both"/>
              <w:rPr>
                <w:rFonts w:ascii="Times New Roman" w:hAnsi="Times New Roman"/>
                <w:b/>
                <w:sz w:val="20"/>
                <w:szCs w:val="20"/>
              </w:rPr>
            </w:pPr>
            <w:r w:rsidRPr="004D14D9">
              <w:rPr>
                <w:rFonts w:ascii="Times New Roman" w:hAnsi="Times New Roman"/>
                <w:sz w:val="20"/>
                <w:szCs w:val="20"/>
              </w:rPr>
              <w:t>”(3</w:t>
            </w:r>
            <w:r w:rsidRPr="004D14D9">
              <w:rPr>
                <w:rFonts w:ascii="Times New Roman" w:hAnsi="Times New Roman"/>
                <w:sz w:val="20"/>
                <w:szCs w:val="20"/>
                <w:vertAlign w:val="superscript"/>
              </w:rPr>
              <w:t>2</w:t>
            </w:r>
            <w:r w:rsidRPr="004D14D9">
              <w:rPr>
                <w:rFonts w:ascii="Times New Roman" w:hAnsi="Times New Roman"/>
                <w:sz w:val="20"/>
                <w:szCs w:val="20"/>
              </w:rPr>
              <w:t xml:space="preserve">) Tipurile de abateri de la aplicarea prevederilor </w:t>
            </w:r>
            <w:r w:rsidR="00CA5207" w:rsidRPr="004D14D9">
              <w:rPr>
                <w:rFonts w:ascii="Times New Roman" w:eastAsia="Times New Roman" w:hAnsi="Times New Roman"/>
                <w:noProof/>
                <w:sz w:val="20"/>
                <w:szCs w:val="20"/>
              </w:rPr>
              <w:t xml:space="preserve"> </w:t>
            </w:r>
            <w:r w:rsidR="00CA5207" w:rsidRPr="004D14D9">
              <w:rPr>
                <w:rFonts w:ascii="Times New Roman" w:hAnsi="Times New Roman"/>
                <w:b/>
                <w:sz w:val="20"/>
                <w:szCs w:val="20"/>
              </w:rPr>
              <w:t xml:space="preserve">în domeniul achizițiilor publice/ achizițiilor sectoriale/concesiunilor de lucări și servicii </w:t>
            </w:r>
            <w:r w:rsidRPr="004D14D9">
              <w:rPr>
                <w:rFonts w:ascii="Times New Roman" w:hAnsi="Times New Roman"/>
                <w:sz w:val="20"/>
                <w:szCs w:val="20"/>
              </w:rPr>
              <w:t xml:space="preserve">prevăzute în </w:t>
            </w:r>
            <w:r w:rsidRPr="004D14D9">
              <w:rPr>
                <w:rFonts w:ascii="Times New Roman" w:hAnsi="Times New Roman"/>
                <w:b/>
                <w:sz w:val="20"/>
                <w:szCs w:val="20"/>
              </w:rPr>
              <w:t xml:space="preserve">anexe </w:t>
            </w:r>
            <w:r w:rsidRPr="004D14D9">
              <w:rPr>
                <w:rFonts w:ascii="Times New Roman" w:hAnsi="Times New Roman"/>
                <w:sz w:val="20"/>
                <w:szCs w:val="20"/>
              </w:rPr>
              <w:t xml:space="preserve">sunt cele care au fost constatate cel mai frecvent ca urmare a activității de verificare/control/audit. Pentru alte abateri care nu sunt definite în </w:t>
            </w:r>
            <w:r w:rsidRPr="004D14D9">
              <w:rPr>
                <w:rFonts w:ascii="Times New Roman" w:hAnsi="Times New Roman"/>
                <w:b/>
                <w:sz w:val="20"/>
                <w:szCs w:val="20"/>
              </w:rPr>
              <w:t xml:space="preserve">anexe </w:t>
            </w:r>
            <w:r w:rsidRPr="004D14D9">
              <w:rPr>
                <w:rFonts w:ascii="Times New Roman" w:hAnsi="Times New Roman"/>
                <w:sz w:val="20"/>
                <w:szCs w:val="20"/>
              </w:rPr>
              <w:t xml:space="preserve">autoritatea cu competențe în gestionarea fondurilor europene aplică reduceri procentuale în concordanță cu principiul proporționalității sau, acolo unde este posibil, prin analogie cu abaterile identificate în </w:t>
            </w:r>
            <w:r w:rsidRPr="004D14D9">
              <w:rPr>
                <w:rFonts w:ascii="Times New Roman" w:hAnsi="Times New Roman"/>
                <w:b/>
                <w:sz w:val="20"/>
                <w:szCs w:val="20"/>
              </w:rPr>
              <w:t>anexe</w:t>
            </w:r>
            <w:r w:rsidRPr="004D14D9">
              <w:rPr>
                <w:rFonts w:ascii="Times New Roman" w:hAnsi="Times New Roman"/>
                <w:sz w:val="20"/>
                <w:szCs w:val="20"/>
              </w:rPr>
              <w:t>.”</w:t>
            </w:r>
          </w:p>
        </w:tc>
        <w:tc>
          <w:tcPr>
            <w:tcW w:w="3806" w:type="dxa"/>
            <w:vAlign w:val="center"/>
          </w:tcPr>
          <w:p w14:paraId="04B8776E" w14:textId="77777777" w:rsidR="008659DF" w:rsidRPr="004D14D9" w:rsidRDefault="008659DF" w:rsidP="003C2BF1">
            <w:pPr>
              <w:pStyle w:val="NormalWeb"/>
              <w:spacing w:before="0" w:beforeAutospacing="0" w:after="0" w:afterAutospacing="0"/>
              <w:jc w:val="both"/>
              <w:rPr>
                <w:b/>
                <w:sz w:val="20"/>
                <w:szCs w:val="20"/>
              </w:rPr>
            </w:pPr>
            <w:r w:rsidRPr="004D14D9">
              <w:rPr>
                <w:b/>
                <w:sz w:val="20"/>
                <w:szCs w:val="20"/>
              </w:rPr>
              <w:t>Art. 6 alin. (3</w:t>
            </w:r>
            <w:r w:rsidRPr="004D14D9">
              <w:rPr>
                <w:b/>
                <w:sz w:val="20"/>
                <w:szCs w:val="20"/>
                <w:vertAlign w:val="superscript"/>
              </w:rPr>
              <w:t>2</w:t>
            </w:r>
            <w:r w:rsidRPr="004D14D9">
              <w:rPr>
                <w:b/>
                <w:sz w:val="20"/>
                <w:szCs w:val="20"/>
              </w:rPr>
              <w:t>)</w:t>
            </w:r>
          </w:p>
          <w:p w14:paraId="6AD9981E" w14:textId="2B731F22" w:rsidR="008659DF" w:rsidRPr="004D14D9" w:rsidRDefault="008659DF" w:rsidP="003C2BF1">
            <w:pPr>
              <w:spacing w:after="0" w:line="240" w:lineRule="auto"/>
              <w:jc w:val="both"/>
              <w:rPr>
                <w:rFonts w:ascii="Times New Roman" w:hAnsi="Times New Roman"/>
                <w:sz w:val="20"/>
                <w:szCs w:val="20"/>
              </w:rPr>
            </w:pPr>
            <w:r w:rsidRPr="004D14D9">
              <w:rPr>
                <w:rFonts w:ascii="Times New Roman" w:hAnsi="Times New Roman"/>
                <w:sz w:val="20"/>
                <w:szCs w:val="20"/>
              </w:rPr>
              <w:t>”(3</w:t>
            </w:r>
            <w:r w:rsidRPr="004D14D9">
              <w:rPr>
                <w:rFonts w:ascii="Times New Roman" w:hAnsi="Times New Roman"/>
                <w:sz w:val="20"/>
                <w:szCs w:val="20"/>
                <w:vertAlign w:val="superscript"/>
              </w:rPr>
              <w:t>2</w:t>
            </w:r>
            <w:r w:rsidRPr="004D14D9">
              <w:rPr>
                <w:rFonts w:ascii="Times New Roman" w:hAnsi="Times New Roman"/>
                <w:sz w:val="20"/>
                <w:szCs w:val="20"/>
              </w:rPr>
              <w:t>) Tipurile de abateri de la aplicarea prevederilor privind procedurile de achiziţie prevăzute în anexă sunt cele care au fost constatate cel mai frecvent ca urmare a activităţii de verificare/control/audit. Pentru alte abateri care nu sunt definite în anexă autoritatea cu competenţe în gestionarea fondurilor europene aplică reduceri procentuale în concordanţă cu principiul proporţionalităţii sau, acolo unde este posibil, prin analogie cu abaterile identificate în anexă.”</w:t>
            </w:r>
          </w:p>
        </w:tc>
        <w:tc>
          <w:tcPr>
            <w:tcW w:w="6520" w:type="dxa"/>
          </w:tcPr>
          <w:p w14:paraId="396B040D" w14:textId="77777777" w:rsidR="008659DF" w:rsidRPr="004D14D9" w:rsidRDefault="008659DF" w:rsidP="003C2BF1">
            <w:pPr>
              <w:spacing w:after="0" w:line="240" w:lineRule="auto"/>
              <w:jc w:val="both"/>
              <w:rPr>
                <w:rFonts w:ascii="Times New Roman" w:hAnsi="Times New Roman"/>
                <w:sz w:val="20"/>
                <w:szCs w:val="20"/>
              </w:rPr>
            </w:pPr>
            <w:r w:rsidRPr="004D14D9">
              <w:rPr>
                <w:rFonts w:ascii="Times New Roman" w:hAnsi="Times New Roman"/>
                <w:sz w:val="20"/>
                <w:szCs w:val="20"/>
              </w:rPr>
              <w:t>Având în vedere faptul că la data de 14 mai 2019, Comisia Europeană a aprobat, prin Decizia CE C(2019) 3452, Ghidul privind stabilirea corecțiilor financiare pentru abateri de la respectarea normelor de achiziții publice pentru cheltuielile finanțate de Uniunea Europeană, este necesară introducerea noii anexe.</w:t>
            </w:r>
          </w:p>
          <w:p w14:paraId="38ADAFD5" w14:textId="413293FB" w:rsidR="00CA5207" w:rsidRPr="004D14D9" w:rsidRDefault="00CA5207" w:rsidP="003C2BF1">
            <w:pPr>
              <w:spacing w:after="0" w:line="240" w:lineRule="auto"/>
              <w:jc w:val="both"/>
              <w:rPr>
                <w:rFonts w:ascii="Times New Roman" w:hAnsi="Times New Roman"/>
                <w:sz w:val="20"/>
                <w:szCs w:val="20"/>
              </w:rPr>
            </w:pPr>
            <w:r w:rsidRPr="004D14D9">
              <w:rPr>
                <w:rFonts w:ascii="Times New Roman" w:hAnsi="Times New Roman"/>
                <w:sz w:val="20"/>
                <w:szCs w:val="20"/>
              </w:rPr>
              <w:t>S-a făcut  și corelarea cu cadrul legislativ aplicabil în domeniul achizițiilor publice.</w:t>
            </w:r>
          </w:p>
        </w:tc>
      </w:tr>
      <w:tr w:rsidR="008659DF" w:rsidRPr="004D14D9" w14:paraId="3DEF2F79" w14:textId="77777777" w:rsidTr="003C2BF1">
        <w:trPr>
          <w:trHeight w:val="849"/>
        </w:trPr>
        <w:tc>
          <w:tcPr>
            <w:tcW w:w="569" w:type="dxa"/>
          </w:tcPr>
          <w:p w14:paraId="0A3CC106" w14:textId="1BFD080E" w:rsidR="008659DF" w:rsidRPr="004D14D9" w:rsidRDefault="008659DF" w:rsidP="003C2BF1">
            <w:pPr>
              <w:spacing w:after="0" w:line="240" w:lineRule="auto"/>
              <w:jc w:val="center"/>
              <w:rPr>
                <w:rFonts w:ascii="Times New Roman" w:hAnsi="Times New Roman"/>
                <w:b/>
                <w:sz w:val="20"/>
                <w:szCs w:val="20"/>
              </w:rPr>
            </w:pPr>
            <w:r w:rsidRPr="004D14D9">
              <w:rPr>
                <w:rFonts w:ascii="Times New Roman" w:hAnsi="Times New Roman"/>
                <w:b/>
                <w:sz w:val="20"/>
                <w:szCs w:val="20"/>
              </w:rPr>
              <w:t>4</w:t>
            </w:r>
          </w:p>
        </w:tc>
        <w:tc>
          <w:tcPr>
            <w:tcW w:w="4698" w:type="dxa"/>
          </w:tcPr>
          <w:p w14:paraId="7E3FAC43" w14:textId="77777777" w:rsidR="008659DF" w:rsidRPr="004D14D9" w:rsidRDefault="008659DF" w:rsidP="003C2BF1">
            <w:pPr>
              <w:pStyle w:val="NormalWeb"/>
              <w:spacing w:before="0" w:beforeAutospacing="0" w:after="0" w:afterAutospacing="0"/>
              <w:jc w:val="both"/>
              <w:rPr>
                <w:b/>
                <w:sz w:val="20"/>
                <w:szCs w:val="20"/>
              </w:rPr>
            </w:pPr>
            <w:r w:rsidRPr="004D14D9">
              <w:rPr>
                <w:b/>
                <w:sz w:val="20"/>
                <w:szCs w:val="20"/>
              </w:rPr>
              <w:t>Art. 6 alin. (3</w:t>
            </w:r>
            <w:r w:rsidRPr="004D14D9">
              <w:rPr>
                <w:b/>
                <w:sz w:val="20"/>
                <w:szCs w:val="20"/>
                <w:vertAlign w:val="superscript"/>
              </w:rPr>
              <w:t>3</w:t>
            </w:r>
            <w:r w:rsidRPr="004D14D9">
              <w:rPr>
                <w:b/>
                <w:sz w:val="20"/>
                <w:szCs w:val="20"/>
              </w:rPr>
              <w:t>)</w:t>
            </w:r>
          </w:p>
          <w:p w14:paraId="57C5C976" w14:textId="1C4451B0" w:rsidR="008659DF" w:rsidRPr="004D14D9" w:rsidRDefault="008659DF" w:rsidP="003C2BF1">
            <w:pPr>
              <w:widowControl w:val="0"/>
              <w:tabs>
                <w:tab w:val="left" w:pos="1060"/>
              </w:tabs>
              <w:spacing w:after="0" w:line="240" w:lineRule="auto"/>
              <w:jc w:val="both"/>
              <w:rPr>
                <w:rFonts w:ascii="Times New Roman" w:hAnsi="Times New Roman"/>
                <w:b/>
                <w:sz w:val="20"/>
                <w:szCs w:val="20"/>
              </w:rPr>
            </w:pPr>
            <w:r w:rsidRPr="004D14D9">
              <w:rPr>
                <w:rFonts w:ascii="Times New Roman" w:hAnsi="Times New Roman"/>
                <w:sz w:val="20"/>
                <w:szCs w:val="20"/>
              </w:rPr>
              <w:t>” (3</w:t>
            </w:r>
            <w:r w:rsidRPr="004D14D9">
              <w:rPr>
                <w:rFonts w:ascii="Times New Roman" w:hAnsi="Times New Roman"/>
                <w:sz w:val="20"/>
                <w:szCs w:val="20"/>
                <w:vertAlign w:val="superscript"/>
              </w:rPr>
              <w:t>3</w:t>
            </w:r>
            <w:r w:rsidRPr="004D14D9">
              <w:rPr>
                <w:rFonts w:ascii="Times New Roman" w:hAnsi="Times New Roman"/>
                <w:sz w:val="20"/>
                <w:szCs w:val="20"/>
              </w:rPr>
              <w:t xml:space="preserve">) Pentru abaterile de la aplicarea prevederilor </w:t>
            </w:r>
            <w:r w:rsidR="00F53729" w:rsidRPr="004D14D9">
              <w:rPr>
                <w:rFonts w:ascii="Times New Roman" w:hAnsi="Times New Roman"/>
                <w:sz w:val="20"/>
                <w:szCs w:val="20"/>
              </w:rPr>
              <w:t xml:space="preserve"> </w:t>
            </w:r>
            <w:r w:rsidR="00F53729" w:rsidRPr="004D14D9">
              <w:rPr>
                <w:rFonts w:ascii="Times New Roman" w:hAnsi="Times New Roman"/>
                <w:b/>
                <w:sz w:val="20"/>
                <w:szCs w:val="20"/>
              </w:rPr>
              <w:t>prevederilor  în domeniul achizițiilor publice/ achizițiilor sectoriale/concesiunilor de lucări și servicii</w:t>
            </w:r>
            <w:r w:rsidR="00F53729" w:rsidRPr="004D14D9">
              <w:rPr>
                <w:rFonts w:ascii="Times New Roman" w:hAnsi="Times New Roman"/>
                <w:sz w:val="20"/>
                <w:szCs w:val="20"/>
              </w:rPr>
              <w:t xml:space="preserve"> </w:t>
            </w:r>
            <w:r w:rsidRPr="004D14D9">
              <w:rPr>
                <w:rFonts w:ascii="Times New Roman" w:hAnsi="Times New Roman"/>
                <w:sz w:val="20"/>
                <w:szCs w:val="20"/>
              </w:rPr>
              <w:t>de natură formală, care nu au niciun potenţial impact financiar, nu se aplică reduceri procentuale.”</w:t>
            </w:r>
          </w:p>
        </w:tc>
        <w:tc>
          <w:tcPr>
            <w:tcW w:w="3806" w:type="dxa"/>
            <w:vAlign w:val="center"/>
          </w:tcPr>
          <w:p w14:paraId="28BFB101" w14:textId="7F05CBF8" w:rsidR="008659DF" w:rsidRPr="004D14D9" w:rsidRDefault="008659DF" w:rsidP="003C2BF1">
            <w:pPr>
              <w:pStyle w:val="NormalWeb"/>
              <w:spacing w:before="0" w:beforeAutospacing="0" w:after="0" w:afterAutospacing="0"/>
              <w:jc w:val="both"/>
              <w:rPr>
                <w:rFonts w:eastAsia="Calibri"/>
                <w:sz w:val="20"/>
                <w:szCs w:val="20"/>
                <w:lang w:eastAsia="en-US"/>
              </w:rPr>
            </w:pPr>
            <w:r w:rsidRPr="004D14D9">
              <w:rPr>
                <w:rFonts w:eastAsia="Calibri"/>
                <w:b/>
                <w:sz w:val="20"/>
                <w:szCs w:val="20"/>
                <w:lang w:eastAsia="en-US"/>
              </w:rPr>
              <w:t>Art. 6 alin. (</w:t>
            </w:r>
            <w:r w:rsidRPr="004D14D9">
              <w:rPr>
                <w:b/>
                <w:sz w:val="20"/>
                <w:szCs w:val="20"/>
              </w:rPr>
              <w:t>3</w:t>
            </w:r>
            <w:r w:rsidRPr="004D14D9">
              <w:rPr>
                <w:b/>
                <w:sz w:val="20"/>
                <w:szCs w:val="20"/>
                <w:vertAlign w:val="superscript"/>
              </w:rPr>
              <w:t>3</w:t>
            </w:r>
            <w:r w:rsidRPr="004D14D9">
              <w:rPr>
                <w:rFonts w:eastAsia="Calibri"/>
                <w:sz w:val="20"/>
                <w:szCs w:val="20"/>
                <w:lang w:eastAsia="en-US"/>
              </w:rPr>
              <w:t>)</w:t>
            </w:r>
          </w:p>
          <w:p w14:paraId="59CE9C3E" w14:textId="094B238E" w:rsidR="008659DF" w:rsidRPr="004D14D9" w:rsidRDefault="008659DF" w:rsidP="003C2BF1">
            <w:pPr>
              <w:spacing w:after="0" w:line="240" w:lineRule="auto"/>
              <w:jc w:val="both"/>
              <w:rPr>
                <w:rFonts w:ascii="Times New Roman" w:hAnsi="Times New Roman"/>
                <w:sz w:val="20"/>
                <w:szCs w:val="20"/>
              </w:rPr>
            </w:pPr>
            <w:r w:rsidRPr="004D14D9">
              <w:rPr>
                <w:rFonts w:ascii="Times New Roman" w:hAnsi="Times New Roman"/>
                <w:sz w:val="20"/>
                <w:szCs w:val="20"/>
              </w:rPr>
              <w:t>”(3</w:t>
            </w:r>
            <w:r w:rsidRPr="004D14D9">
              <w:rPr>
                <w:rFonts w:ascii="Times New Roman" w:hAnsi="Times New Roman"/>
                <w:sz w:val="20"/>
                <w:szCs w:val="20"/>
                <w:vertAlign w:val="superscript"/>
              </w:rPr>
              <w:t>3</w:t>
            </w:r>
            <w:r w:rsidRPr="004D14D9">
              <w:rPr>
                <w:rFonts w:ascii="Times New Roman" w:hAnsi="Times New Roman"/>
                <w:sz w:val="20"/>
                <w:szCs w:val="20"/>
              </w:rPr>
              <w:t xml:space="preserve">) Pentru abaterile de la aplicarea prevederilor privind procedurile de achiziţie de natură formală, care nu au niciun potenţial impact financiar, nu se aplică reduceri procentuale. </w:t>
            </w:r>
            <w:r w:rsidRPr="004D14D9">
              <w:rPr>
                <w:rFonts w:ascii="Times New Roman" w:hAnsi="Times New Roman"/>
                <w:b/>
                <w:sz w:val="20"/>
                <w:szCs w:val="20"/>
              </w:rPr>
              <w:t>Situaţiile care pot fi constatate ca fiind fără impact financiar sunt prevăzute în normele metodologice de aplicare a prezentei ordonanţe de urgenţă</w:t>
            </w:r>
            <w:r w:rsidRPr="004D14D9">
              <w:rPr>
                <w:rFonts w:ascii="Times New Roman" w:hAnsi="Times New Roman"/>
                <w:sz w:val="20"/>
                <w:szCs w:val="20"/>
              </w:rPr>
              <w:t>.” </w:t>
            </w:r>
          </w:p>
        </w:tc>
        <w:tc>
          <w:tcPr>
            <w:tcW w:w="6520" w:type="dxa"/>
          </w:tcPr>
          <w:p w14:paraId="3768296C" w14:textId="77777777" w:rsidR="008659DF" w:rsidRPr="004D14D9" w:rsidRDefault="008659DF" w:rsidP="003C2BF1">
            <w:pPr>
              <w:pStyle w:val="NoSpacing"/>
              <w:spacing w:before="60" w:after="60"/>
              <w:jc w:val="both"/>
              <w:rPr>
                <w:rFonts w:ascii="Times New Roman" w:hAnsi="Times New Roman"/>
                <w:sz w:val="20"/>
                <w:szCs w:val="20"/>
                <w:lang w:val="ro-RO"/>
              </w:rPr>
            </w:pPr>
            <w:r w:rsidRPr="004D14D9">
              <w:rPr>
                <w:rFonts w:ascii="Times New Roman" w:hAnsi="Times New Roman"/>
                <w:sz w:val="20"/>
                <w:szCs w:val="20"/>
                <w:lang w:val="ro-RO"/>
              </w:rPr>
              <w:t xml:space="preserve">Abaterile fără impact nu sunt nereguli. </w:t>
            </w:r>
          </w:p>
          <w:p w14:paraId="3209E070" w14:textId="3C93A1F6" w:rsidR="008659DF" w:rsidRPr="004D14D9" w:rsidRDefault="008659DF" w:rsidP="003C2BF1">
            <w:pPr>
              <w:pStyle w:val="Header"/>
              <w:jc w:val="both"/>
              <w:rPr>
                <w:rFonts w:ascii="Times New Roman" w:hAnsi="Times New Roman"/>
                <w:sz w:val="20"/>
                <w:szCs w:val="20"/>
              </w:rPr>
            </w:pPr>
            <w:r w:rsidRPr="004D14D9">
              <w:rPr>
                <w:rFonts w:ascii="Times New Roman" w:hAnsi="Times New Roman"/>
                <w:sz w:val="20"/>
                <w:szCs w:val="20"/>
              </w:rPr>
              <w:t xml:space="preserve">Reformularea este necesară pentru claritatea intenţiei de reglementare. Astfel, se elimină doar obligaţia de enumerare a situaţiilor fără impact financiar în normele de aplicare, acestea neputând fi apreciate limitativ. </w:t>
            </w:r>
          </w:p>
          <w:p w14:paraId="1C3A46FE" w14:textId="77777777" w:rsidR="008659DF" w:rsidRPr="004D14D9" w:rsidRDefault="008659DF" w:rsidP="003C2BF1">
            <w:pPr>
              <w:spacing w:after="0" w:line="240" w:lineRule="auto"/>
              <w:jc w:val="both"/>
              <w:rPr>
                <w:rFonts w:ascii="Times New Roman" w:hAnsi="Times New Roman"/>
                <w:sz w:val="20"/>
                <w:szCs w:val="20"/>
              </w:rPr>
            </w:pPr>
          </w:p>
          <w:p w14:paraId="664CD156" w14:textId="4E666133" w:rsidR="00DF1209" w:rsidRPr="004D14D9" w:rsidRDefault="00DF1209" w:rsidP="003C2BF1">
            <w:pPr>
              <w:spacing w:after="0" w:line="240" w:lineRule="auto"/>
              <w:jc w:val="both"/>
              <w:rPr>
                <w:rFonts w:ascii="Times New Roman" w:hAnsi="Times New Roman"/>
                <w:sz w:val="20"/>
                <w:szCs w:val="20"/>
              </w:rPr>
            </w:pPr>
            <w:r w:rsidRPr="004D14D9">
              <w:rPr>
                <w:rFonts w:ascii="Times New Roman" w:hAnsi="Times New Roman"/>
                <w:sz w:val="20"/>
                <w:szCs w:val="20"/>
              </w:rPr>
              <w:t>S-a făcut  și corelarea cu cadrul legislativ aplicabil în domeniul achizițiilor publice.</w:t>
            </w:r>
          </w:p>
        </w:tc>
      </w:tr>
      <w:tr w:rsidR="008659DF" w:rsidRPr="004D14D9" w14:paraId="5E31899E" w14:textId="77777777" w:rsidTr="003C2BF1">
        <w:trPr>
          <w:trHeight w:val="849"/>
        </w:trPr>
        <w:tc>
          <w:tcPr>
            <w:tcW w:w="569" w:type="dxa"/>
          </w:tcPr>
          <w:p w14:paraId="0DCB1DDE" w14:textId="2D79656A" w:rsidR="008659DF" w:rsidRPr="004D14D9" w:rsidRDefault="008659DF" w:rsidP="003C2BF1">
            <w:pPr>
              <w:spacing w:after="0" w:line="240" w:lineRule="auto"/>
              <w:jc w:val="center"/>
              <w:rPr>
                <w:rFonts w:ascii="Times New Roman" w:hAnsi="Times New Roman"/>
                <w:b/>
                <w:sz w:val="20"/>
                <w:szCs w:val="20"/>
              </w:rPr>
            </w:pPr>
            <w:r w:rsidRPr="004D14D9">
              <w:rPr>
                <w:rFonts w:ascii="Times New Roman" w:hAnsi="Times New Roman"/>
                <w:b/>
                <w:sz w:val="20"/>
                <w:szCs w:val="20"/>
              </w:rPr>
              <w:t>5</w:t>
            </w:r>
          </w:p>
        </w:tc>
        <w:tc>
          <w:tcPr>
            <w:tcW w:w="4698" w:type="dxa"/>
          </w:tcPr>
          <w:p w14:paraId="378AF9EA" w14:textId="77777777" w:rsidR="008659DF" w:rsidRPr="004D14D9" w:rsidRDefault="008659DF" w:rsidP="003C2BF1">
            <w:pPr>
              <w:pStyle w:val="NormalWeb"/>
              <w:spacing w:before="0" w:beforeAutospacing="0" w:after="0" w:afterAutospacing="0"/>
              <w:jc w:val="both"/>
              <w:rPr>
                <w:b/>
                <w:sz w:val="20"/>
                <w:szCs w:val="20"/>
              </w:rPr>
            </w:pPr>
            <w:r w:rsidRPr="004D14D9">
              <w:rPr>
                <w:b/>
                <w:sz w:val="20"/>
                <w:szCs w:val="20"/>
              </w:rPr>
              <w:t>Art. 6 alin. (3</w:t>
            </w:r>
            <w:r w:rsidRPr="004D14D9">
              <w:rPr>
                <w:b/>
                <w:sz w:val="20"/>
                <w:szCs w:val="20"/>
                <w:vertAlign w:val="superscript"/>
              </w:rPr>
              <w:t>4</w:t>
            </w:r>
            <w:r w:rsidRPr="004D14D9">
              <w:rPr>
                <w:b/>
                <w:sz w:val="20"/>
                <w:szCs w:val="20"/>
              </w:rPr>
              <w:t>)</w:t>
            </w:r>
          </w:p>
          <w:p w14:paraId="44458219" w14:textId="6E062D8E" w:rsidR="008659DF" w:rsidRPr="004D14D9" w:rsidRDefault="008659DF" w:rsidP="003C2BF1">
            <w:pPr>
              <w:widowControl w:val="0"/>
              <w:tabs>
                <w:tab w:val="left" w:pos="1060"/>
              </w:tabs>
              <w:spacing w:after="0" w:line="240" w:lineRule="auto"/>
              <w:jc w:val="both"/>
              <w:rPr>
                <w:rFonts w:ascii="Times New Roman" w:hAnsi="Times New Roman"/>
                <w:b/>
                <w:sz w:val="20"/>
                <w:szCs w:val="20"/>
              </w:rPr>
            </w:pPr>
            <w:r w:rsidRPr="004D14D9">
              <w:rPr>
                <w:rFonts w:ascii="Times New Roman" w:hAnsi="Times New Roman"/>
                <w:b/>
                <w:sz w:val="20"/>
                <w:szCs w:val="20"/>
              </w:rPr>
              <w:t>”</w:t>
            </w:r>
            <w:r w:rsidRPr="004D14D9">
              <w:rPr>
                <w:rFonts w:ascii="Times New Roman" w:hAnsi="Times New Roman"/>
                <w:sz w:val="20"/>
                <w:szCs w:val="20"/>
              </w:rPr>
              <w:t>(3</w:t>
            </w:r>
            <w:r w:rsidRPr="004D14D9">
              <w:rPr>
                <w:rFonts w:ascii="Times New Roman" w:hAnsi="Times New Roman"/>
                <w:sz w:val="20"/>
                <w:szCs w:val="20"/>
                <w:vertAlign w:val="superscript"/>
              </w:rPr>
              <w:t>4</w:t>
            </w:r>
            <w:r w:rsidRPr="004D14D9">
              <w:rPr>
                <w:rFonts w:ascii="Times New Roman" w:hAnsi="Times New Roman"/>
                <w:sz w:val="20"/>
                <w:szCs w:val="20"/>
              </w:rPr>
              <w:t xml:space="preserve">) În cazul în care, pentru același contract de </w:t>
            </w:r>
            <w:r w:rsidRPr="004D14D9">
              <w:rPr>
                <w:rFonts w:ascii="Times New Roman" w:hAnsi="Times New Roman"/>
                <w:b/>
                <w:sz w:val="20"/>
                <w:szCs w:val="20"/>
              </w:rPr>
              <w:t xml:space="preserve">achiziție </w:t>
            </w:r>
            <w:r w:rsidR="00670AA3" w:rsidRPr="004D14D9">
              <w:rPr>
                <w:rFonts w:ascii="Times New Roman" w:hAnsi="Times New Roman"/>
                <w:b/>
                <w:sz w:val="20"/>
                <w:szCs w:val="20"/>
              </w:rPr>
              <w:t>publică/de achiziție sectorială/de concesiune de lucrări și servicii</w:t>
            </w:r>
            <w:r w:rsidR="00DF1209" w:rsidRPr="004D14D9">
              <w:rPr>
                <w:rFonts w:ascii="Times New Roman" w:hAnsi="Times New Roman"/>
                <w:sz w:val="20"/>
                <w:szCs w:val="20"/>
              </w:rPr>
              <w:t xml:space="preserve"> </w:t>
            </w:r>
            <w:r w:rsidR="00670AA3" w:rsidRPr="004D14D9">
              <w:rPr>
                <w:rFonts w:ascii="Times New Roman" w:hAnsi="Times New Roman"/>
                <w:sz w:val="20"/>
                <w:szCs w:val="20"/>
              </w:rPr>
              <w:t>verificat</w:t>
            </w:r>
            <w:r w:rsidRPr="004D14D9">
              <w:rPr>
                <w:rFonts w:ascii="Times New Roman" w:hAnsi="Times New Roman"/>
                <w:sz w:val="20"/>
                <w:szCs w:val="20"/>
              </w:rPr>
              <w:t xml:space="preserve">, se constată </w:t>
            </w:r>
            <w:r w:rsidRPr="004D14D9">
              <w:rPr>
                <w:rFonts w:ascii="Times New Roman" w:hAnsi="Times New Roman"/>
                <w:sz w:val="20"/>
                <w:szCs w:val="20"/>
              </w:rPr>
              <w:lastRenderedPageBreak/>
              <w:t xml:space="preserve">existența mai multor abateri privind regimul achizițiilor </w:t>
            </w:r>
            <w:r w:rsidR="00670AA3" w:rsidRPr="004D14D9">
              <w:rPr>
                <w:rFonts w:ascii="Times New Roman" w:hAnsi="Times New Roman"/>
                <w:b/>
                <w:sz w:val="20"/>
                <w:szCs w:val="20"/>
              </w:rPr>
              <w:t>publice/ achizițiilor sectoriale/ concesiunilor de lucrări și servicii</w:t>
            </w:r>
            <w:r w:rsidR="00670AA3" w:rsidRPr="004D14D9">
              <w:rPr>
                <w:rFonts w:ascii="Times New Roman" w:hAnsi="Times New Roman"/>
                <w:sz w:val="20"/>
                <w:szCs w:val="20"/>
              </w:rPr>
              <w:t xml:space="preserve"> </w:t>
            </w:r>
            <w:r w:rsidRPr="004D14D9">
              <w:rPr>
                <w:rFonts w:ascii="Times New Roman" w:hAnsi="Times New Roman"/>
                <w:sz w:val="20"/>
                <w:szCs w:val="20"/>
              </w:rPr>
              <w:t xml:space="preserve">pentru care trebuie aplicate reducerile procentuale prevăzute în </w:t>
            </w:r>
            <w:r w:rsidRPr="004D14D9">
              <w:rPr>
                <w:rFonts w:ascii="Times New Roman" w:hAnsi="Times New Roman"/>
                <w:b/>
                <w:sz w:val="20"/>
                <w:szCs w:val="20"/>
              </w:rPr>
              <w:t>anexe</w:t>
            </w:r>
            <w:r w:rsidRPr="004D14D9">
              <w:rPr>
                <w:rFonts w:ascii="Times New Roman" w:hAnsi="Times New Roman"/>
                <w:sz w:val="20"/>
                <w:szCs w:val="20"/>
              </w:rPr>
              <w:t>, se va aplica valoarea cea mai mare a reducerii procentuale propuse.”</w:t>
            </w:r>
          </w:p>
        </w:tc>
        <w:tc>
          <w:tcPr>
            <w:tcW w:w="3806" w:type="dxa"/>
            <w:vAlign w:val="center"/>
          </w:tcPr>
          <w:p w14:paraId="5D3D14FA" w14:textId="77777777" w:rsidR="008659DF" w:rsidRPr="004D14D9" w:rsidRDefault="008659DF" w:rsidP="003C2BF1">
            <w:pPr>
              <w:pStyle w:val="NormalWeb"/>
              <w:spacing w:before="0" w:beforeAutospacing="0" w:after="0" w:afterAutospacing="0"/>
              <w:jc w:val="both"/>
              <w:rPr>
                <w:b/>
                <w:sz w:val="20"/>
                <w:szCs w:val="20"/>
              </w:rPr>
            </w:pPr>
            <w:r w:rsidRPr="004D14D9">
              <w:rPr>
                <w:b/>
                <w:sz w:val="20"/>
                <w:szCs w:val="20"/>
              </w:rPr>
              <w:lastRenderedPageBreak/>
              <w:t>Art. 6 alin. (3</w:t>
            </w:r>
            <w:r w:rsidRPr="004D14D9">
              <w:rPr>
                <w:b/>
                <w:sz w:val="20"/>
                <w:szCs w:val="20"/>
                <w:vertAlign w:val="superscript"/>
              </w:rPr>
              <w:t>4</w:t>
            </w:r>
            <w:r w:rsidRPr="004D14D9">
              <w:rPr>
                <w:b/>
                <w:sz w:val="20"/>
                <w:szCs w:val="20"/>
              </w:rPr>
              <w:t>)</w:t>
            </w:r>
          </w:p>
          <w:p w14:paraId="399CD89E" w14:textId="412E95CA" w:rsidR="008659DF" w:rsidRPr="004D14D9" w:rsidRDefault="008659DF" w:rsidP="003C2BF1">
            <w:pPr>
              <w:spacing w:after="0" w:line="240" w:lineRule="auto"/>
              <w:jc w:val="both"/>
              <w:rPr>
                <w:rFonts w:ascii="Times New Roman" w:hAnsi="Times New Roman"/>
                <w:sz w:val="20"/>
                <w:szCs w:val="20"/>
              </w:rPr>
            </w:pPr>
            <w:r w:rsidRPr="004D14D9">
              <w:rPr>
                <w:rFonts w:ascii="Times New Roman" w:hAnsi="Times New Roman"/>
                <w:sz w:val="20"/>
                <w:szCs w:val="20"/>
              </w:rPr>
              <w:t xml:space="preserve">”(3^4) În cazul în care, pentru acelaşi contract de achiziţie verificat, se constată existenţa mai multor abateri privind regimul </w:t>
            </w:r>
            <w:r w:rsidRPr="004D14D9">
              <w:rPr>
                <w:rFonts w:ascii="Times New Roman" w:hAnsi="Times New Roman"/>
                <w:sz w:val="20"/>
                <w:szCs w:val="20"/>
              </w:rPr>
              <w:lastRenderedPageBreak/>
              <w:t>achiziţiilor pentru care trebuie aplicate reducerile procentuale prevăzute în anexă, se va aplica valoarea cea mai mare a reducerii procentuale propuse.”</w:t>
            </w:r>
          </w:p>
        </w:tc>
        <w:tc>
          <w:tcPr>
            <w:tcW w:w="6520" w:type="dxa"/>
          </w:tcPr>
          <w:p w14:paraId="49BAF0A1" w14:textId="77777777" w:rsidR="008659DF" w:rsidRPr="004D14D9" w:rsidRDefault="008659DF" w:rsidP="003C2BF1">
            <w:pPr>
              <w:spacing w:after="0" w:line="240" w:lineRule="auto"/>
              <w:jc w:val="both"/>
              <w:rPr>
                <w:rFonts w:ascii="Times New Roman" w:hAnsi="Times New Roman"/>
                <w:sz w:val="20"/>
                <w:szCs w:val="20"/>
              </w:rPr>
            </w:pPr>
            <w:r w:rsidRPr="004D14D9">
              <w:rPr>
                <w:rFonts w:ascii="Times New Roman" w:hAnsi="Times New Roman"/>
                <w:sz w:val="20"/>
                <w:szCs w:val="20"/>
              </w:rPr>
              <w:lastRenderedPageBreak/>
              <w:t xml:space="preserve">Având în vedere faptul că la data de 14 mai 2019, Comisia Europeană a aprobat, prin Decizia CE C(2019) 3452, Ghidul privind stabilirea corecțiilor financiare pentru abateri de la respectarea normelor de achiziții publice pentru cheltuielile finanțate de Uniunea Europeană, este necesară introducerea noii </w:t>
            </w:r>
            <w:r w:rsidRPr="004D14D9">
              <w:rPr>
                <w:rFonts w:ascii="Times New Roman" w:hAnsi="Times New Roman"/>
                <w:sz w:val="20"/>
                <w:szCs w:val="20"/>
              </w:rPr>
              <w:lastRenderedPageBreak/>
              <w:t>anexe.</w:t>
            </w:r>
          </w:p>
          <w:p w14:paraId="7E0E8104" w14:textId="77777777" w:rsidR="00DF1209" w:rsidRPr="004D14D9" w:rsidRDefault="00DF1209" w:rsidP="003C2BF1">
            <w:pPr>
              <w:spacing w:after="0" w:line="240" w:lineRule="auto"/>
              <w:jc w:val="both"/>
              <w:rPr>
                <w:rFonts w:ascii="Times New Roman" w:hAnsi="Times New Roman"/>
                <w:sz w:val="20"/>
                <w:szCs w:val="20"/>
              </w:rPr>
            </w:pPr>
          </w:p>
          <w:p w14:paraId="512EEF94" w14:textId="3D0B33F0" w:rsidR="00B07B2D" w:rsidRPr="004D14D9" w:rsidRDefault="00B07B2D" w:rsidP="003C2BF1">
            <w:pPr>
              <w:spacing w:after="0" w:line="240" w:lineRule="auto"/>
              <w:jc w:val="both"/>
              <w:rPr>
                <w:rFonts w:ascii="Times New Roman" w:hAnsi="Times New Roman"/>
                <w:sz w:val="20"/>
                <w:szCs w:val="20"/>
              </w:rPr>
            </w:pPr>
            <w:r w:rsidRPr="004D14D9">
              <w:rPr>
                <w:rFonts w:ascii="Times New Roman" w:hAnsi="Times New Roman"/>
                <w:sz w:val="20"/>
                <w:szCs w:val="20"/>
              </w:rPr>
              <w:t xml:space="preserve">S-a făcut  și corelarea cu cadrul legislativ aplicabil </w:t>
            </w:r>
            <w:r w:rsidR="00453470" w:rsidRPr="004D14D9">
              <w:rPr>
                <w:rFonts w:ascii="Times New Roman" w:hAnsi="Times New Roman"/>
                <w:sz w:val="20"/>
                <w:szCs w:val="20"/>
              </w:rPr>
              <w:t xml:space="preserve">în </w:t>
            </w:r>
            <w:r w:rsidRPr="004D14D9">
              <w:rPr>
                <w:rFonts w:ascii="Times New Roman" w:hAnsi="Times New Roman"/>
                <w:sz w:val="20"/>
                <w:szCs w:val="20"/>
              </w:rPr>
              <w:t>domeniul achizițiilor publice.</w:t>
            </w:r>
          </w:p>
        </w:tc>
      </w:tr>
      <w:tr w:rsidR="008659DF" w:rsidRPr="004D14D9" w14:paraId="1FCB75D8" w14:textId="77777777" w:rsidTr="003C2BF1">
        <w:trPr>
          <w:trHeight w:val="278"/>
        </w:trPr>
        <w:tc>
          <w:tcPr>
            <w:tcW w:w="569" w:type="dxa"/>
          </w:tcPr>
          <w:p w14:paraId="507CC1DB" w14:textId="5B74AC45" w:rsidR="008659DF" w:rsidRPr="004D14D9" w:rsidRDefault="008659DF" w:rsidP="003C2BF1">
            <w:pPr>
              <w:spacing w:after="0" w:line="240" w:lineRule="auto"/>
              <w:jc w:val="center"/>
              <w:rPr>
                <w:rFonts w:ascii="Times New Roman" w:hAnsi="Times New Roman"/>
                <w:b/>
                <w:sz w:val="20"/>
                <w:szCs w:val="20"/>
              </w:rPr>
            </w:pPr>
            <w:r w:rsidRPr="004D14D9">
              <w:rPr>
                <w:rFonts w:ascii="Times New Roman" w:hAnsi="Times New Roman"/>
                <w:b/>
                <w:sz w:val="20"/>
                <w:szCs w:val="20"/>
              </w:rPr>
              <w:lastRenderedPageBreak/>
              <w:t>6</w:t>
            </w:r>
          </w:p>
        </w:tc>
        <w:tc>
          <w:tcPr>
            <w:tcW w:w="4698" w:type="dxa"/>
          </w:tcPr>
          <w:p w14:paraId="772B646F" w14:textId="77777777" w:rsidR="008659DF" w:rsidRPr="004D14D9" w:rsidRDefault="008659DF" w:rsidP="003C2BF1">
            <w:pPr>
              <w:pStyle w:val="NormalWeb"/>
              <w:spacing w:before="0" w:beforeAutospacing="0" w:after="0" w:afterAutospacing="0"/>
              <w:jc w:val="both"/>
              <w:rPr>
                <w:b/>
                <w:sz w:val="20"/>
                <w:szCs w:val="20"/>
              </w:rPr>
            </w:pPr>
            <w:r w:rsidRPr="004D14D9">
              <w:rPr>
                <w:b/>
                <w:sz w:val="20"/>
                <w:szCs w:val="20"/>
              </w:rPr>
              <w:t>Art. 20 alin. (2</w:t>
            </w:r>
            <w:r w:rsidRPr="004D14D9">
              <w:rPr>
                <w:b/>
                <w:sz w:val="20"/>
                <w:szCs w:val="20"/>
                <w:vertAlign w:val="superscript"/>
              </w:rPr>
              <w:t>1</w:t>
            </w:r>
            <w:r w:rsidRPr="004D14D9">
              <w:rPr>
                <w:b/>
                <w:sz w:val="20"/>
                <w:szCs w:val="20"/>
              </w:rPr>
              <w:t>) și (2</w:t>
            </w:r>
            <w:r w:rsidRPr="004D14D9">
              <w:rPr>
                <w:b/>
                <w:sz w:val="20"/>
                <w:szCs w:val="20"/>
                <w:vertAlign w:val="superscript"/>
              </w:rPr>
              <w:t>2</w:t>
            </w:r>
            <w:r w:rsidRPr="004D14D9">
              <w:rPr>
                <w:b/>
                <w:sz w:val="20"/>
                <w:szCs w:val="20"/>
              </w:rPr>
              <w:t>)</w:t>
            </w:r>
          </w:p>
          <w:p w14:paraId="56B8E7C4" w14:textId="77777777" w:rsidR="008659DF" w:rsidRPr="004D14D9" w:rsidRDefault="008659DF" w:rsidP="003C2BF1">
            <w:pPr>
              <w:pStyle w:val="ListParagraph"/>
              <w:spacing w:after="0" w:line="240" w:lineRule="auto"/>
              <w:ind w:left="0"/>
              <w:jc w:val="both"/>
              <w:rPr>
                <w:rFonts w:ascii="Times New Roman" w:hAnsi="Times New Roman"/>
                <w:sz w:val="20"/>
                <w:szCs w:val="20"/>
              </w:rPr>
            </w:pPr>
            <w:r w:rsidRPr="004D14D9">
              <w:rPr>
                <w:rFonts w:ascii="Times New Roman" w:hAnsi="Times New Roman"/>
                <w:sz w:val="20"/>
                <w:szCs w:val="20"/>
              </w:rPr>
              <w:t>”(2</w:t>
            </w:r>
            <w:r w:rsidRPr="004D14D9">
              <w:rPr>
                <w:rFonts w:ascii="Times New Roman" w:hAnsi="Times New Roman"/>
                <w:sz w:val="20"/>
                <w:szCs w:val="20"/>
                <w:vertAlign w:val="superscript"/>
              </w:rPr>
              <w:t>1</w:t>
            </w:r>
            <w:r w:rsidRPr="004D14D9">
              <w:rPr>
                <w:rFonts w:ascii="Times New Roman" w:hAnsi="Times New Roman"/>
                <w:sz w:val="20"/>
                <w:szCs w:val="20"/>
              </w:rPr>
              <w:t>)</w:t>
            </w:r>
            <w:r w:rsidRPr="004D14D9">
              <w:rPr>
                <w:rFonts w:ascii="Times New Roman" w:hAnsi="Times New Roman"/>
                <w:sz w:val="20"/>
                <w:szCs w:val="20"/>
                <w:vertAlign w:val="superscript"/>
              </w:rPr>
              <w:t xml:space="preserve"> </w:t>
            </w:r>
            <w:r w:rsidRPr="004D14D9">
              <w:rPr>
                <w:rFonts w:ascii="Times New Roman" w:hAnsi="Times New Roman"/>
                <w:sz w:val="20"/>
                <w:szCs w:val="20"/>
              </w:rPr>
              <w:t>Ca urmare a finalizării investigațiilor efectuate de către structura de control prevăzută la alin. (2) lit. d), autoritatea de certificare decide, după caz:</w:t>
            </w:r>
          </w:p>
          <w:p w14:paraId="0EA02458" w14:textId="6FB61561" w:rsidR="008659DF" w:rsidRPr="004D14D9" w:rsidRDefault="008659DF" w:rsidP="003C2BF1">
            <w:pPr>
              <w:spacing w:after="0" w:line="240" w:lineRule="auto"/>
              <w:jc w:val="both"/>
              <w:rPr>
                <w:rFonts w:ascii="Times New Roman" w:hAnsi="Times New Roman"/>
                <w:sz w:val="20"/>
                <w:szCs w:val="20"/>
              </w:rPr>
            </w:pPr>
            <w:r w:rsidRPr="004D14D9">
              <w:rPr>
                <w:rFonts w:ascii="Times New Roman" w:hAnsi="Times New Roman"/>
                <w:sz w:val="20"/>
                <w:szCs w:val="20"/>
              </w:rPr>
              <w:t xml:space="preserve">a) să emită o decizie privind neeligibilitatea, </w:t>
            </w:r>
            <w:r w:rsidR="00760A3B" w:rsidRPr="004D14D9">
              <w:rPr>
                <w:rFonts w:ascii="Times New Roman" w:hAnsi="Times New Roman"/>
                <w:sz w:val="20"/>
                <w:szCs w:val="20"/>
              </w:rPr>
              <w:t xml:space="preserve">astfel </w:t>
            </w:r>
            <w:r w:rsidRPr="004D14D9">
              <w:rPr>
                <w:rFonts w:ascii="Times New Roman" w:hAnsi="Times New Roman"/>
                <w:sz w:val="20"/>
                <w:szCs w:val="20"/>
              </w:rPr>
              <w:t>cum este definită la art. 2 alin. (1) lit. aa),</w:t>
            </w:r>
          </w:p>
          <w:p w14:paraId="309F0B27" w14:textId="6D5AFE7F" w:rsidR="008659DF" w:rsidRPr="004D14D9" w:rsidRDefault="008659DF" w:rsidP="003C2BF1">
            <w:pPr>
              <w:spacing w:after="0" w:line="240" w:lineRule="auto"/>
              <w:jc w:val="both"/>
              <w:rPr>
                <w:rFonts w:ascii="Times New Roman" w:hAnsi="Times New Roman"/>
                <w:sz w:val="20"/>
                <w:szCs w:val="20"/>
              </w:rPr>
            </w:pPr>
            <w:r w:rsidRPr="004D14D9">
              <w:rPr>
                <w:rFonts w:ascii="Times New Roman" w:hAnsi="Times New Roman"/>
                <w:sz w:val="20"/>
                <w:szCs w:val="20"/>
              </w:rPr>
              <w:t>b) să declare/certifice</w:t>
            </w:r>
            <w:r w:rsidR="009D7FD2">
              <w:rPr>
                <w:rFonts w:ascii="Times New Roman" w:hAnsi="Times New Roman"/>
                <w:sz w:val="20"/>
                <w:szCs w:val="20"/>
              </w:rPr>
              <w:t xml:space="preserve"> </w:t>
            </w:r>
            <w:r w:rsidRPr="004D14D9">
              <w:rPr>
                <w:rFonts w:ascii="Times New Roman" w:hAnsi="Times New Roman"/>
                <w:sz w:val="20"/>
                <w:szCs w:val="20"/>
              </w:rPr>
              <w:t xml:space="preserve">sume aferente constatărilor cu implicații financiare formulate în rapoartele sale finale de verificare, </w:t>
            </w:r>
          </w:p>
          <w:p w14:paraId="607BA012" w14:textId="77777777" w:rsidR="008659DF" w:rsidRPr="004D14D9" w:rsidRDefault="008659DF" w:rsidP="003C2BF1">
            <w:pPr>
              <w:spacing w:after="0" w:line="240" w:lineRule="auto"/>
              <w:jc w:val="both"/>
              <w:rPr>
                <w:rFonts w:ascii="Times New Roman" w:hAnsi="Times New Roman"/>
                <w:sz w:val="20"/>
                <w:szCs w:val="20"/>
              </w:rPr>
            </w:pPr>
            <w:r w:rsidRPr="004D14D9">
              <w:rPr>
                <w:rFonts w:ascii="Times New Roman" w:hAnsi="Times New Roman"/>
                <w:sz w:val="20"/>
                <w:szCs w:val="20"/>
              </w:rPr>
              <w:t>c) să țină cont de impactul financiar al titlului de creanță emis de structura de control, la întocmirea declarației de cheltuieli/declarației anuale a conturilor.</w:t>
            </w:r>
          </w:p>
          <w:p w14:paraId="5D25C553" w14:textId="776CD9C6" w:rsidR="008659DF" w:rsidRPr="004D14D9" w:rsidRDefault="008659DF" w:rsidP="003C2BF1">
            <w:pPr>
              <w:pStyle w:val="ListParagraph"/>
              <w:spacing w:after="0" w:line="240" w:lineRule="auto"/>
              <w:ind w:left="0"/>
              <w:jc w:val="both"/>
              <w:rPr>
                <w:rFonts w:ascii="Times New Roman" w:hAnsi="Times New Roman"/>
                <w:b/>
                <w:sz w:val="20"/>
                <w:szCs w:val="20"/>
              </w:rPr>
            </w:pPr>
            <w:r w:rsidRPr="004D14D9">
              <w:rPr>
                <w:rFonts w:ascii="Times New Roman" w:hAnsi="Times New Roman"/>
                <w:sz w:val="20"/>
                <w:szCs w:val="20"/>
              </w:rPr>
              <w:t>(2</w:t>
            </w:r>
            <w:r w:rsidRPr="004D14D9">
              <w:rPr>
                <w:rFonts w:ascii="Times New Roman" w:hAnsi="Times New Roman"/>
                <w:sz w:val="20"/>
                <w:szCs w:val="20"/>
                <w:vertAlign w:val="superscript"/>
              </w:rPr>
              <w:t>2</w:t>
            </w:r>
            <w:r w:rsidRPr="004D14D9">
              <w:rPr>
                <w:rFonts w:ascii="Times New Roman" w:hAnsi="Times New Roman"/>
                <w:sz w:val="20"/>
                <w:szCs w:val="20"/>
              </w:rPr>
              <w:t>) Formatul standard al deciziei de neeligibilitate prevăzută la alin. (2</w:t>
            </w:r>
            <w:r w:rsidRPr="004D14D9">
              <w:rPr>
                <w:rFonts w:ascii="Times New Roman" w:hAnsi="Times New Roman"/>
                <w:sz w:val="20"/>
                <w:szCs w:val="20"/>
                <w:vertAlign w:val="superscript"/>
              </w:rPr>
              <w:t>1</w:t>
            </w:r>
            <w:r w:rsidRPr="004D14D9">
              <w:rPr>
                <w:rFonts w:ascii="Times New Roman" w:hAnsi="Times New Roman"/>
                <w:sz w:val="20"/>
                <w:szCs w:val="20"/>
              </w:rPr>
              <w:t>)</w:t>
            </w:r>
            <w:r w:rsidR="00760A3B" w:rsidRPr="004D14D9">
              <w:rPr>
                <w:rFonts w:ascii="Times New Roman" w:hAnsi="Times New Roman"/>
                <w:sz w:val="20"/>
                <w:szCs w:val="20"/>
              </w:rPr>
              <w:t xml:space="preserve"> lit.a</w:t>
            </w:r>
            <w:r w:rsidRPr="004D14D9">
              <w:rPr>
                <w:rFonts w:ascii="Times New Roman" w:hAnsi="Times New Roman"/>
                <w:sz w:val="20"/>
                <w:szCs w:val="20"/>
              </w:rPr>
              <w:t>, se stabilește prin ordin al ministrului finanțelor publice</w:t>
            </w:r>
            <w:r w:rsidRPr="004D14D9">
              <w:rPr>
                <w:rFonts w:ascii="Times New Roman" w:hAnsi="Times New Roman"/>
                <w:sz w:val="20"/>
                <w:szCs w:val="20"/>
                <w:lang w:val="en-US"/>
              </w:rPr>
              <w:t xml:space="preserve">”. </w:t>
            </w:r>
          </w:p>
        </w:tc>
        <w:tc>
          <w:tcPr>
            <w:tcW w:w="3806" w:type="dxa"/>
            <w:vAlign w:val="center"/>
          </w:tcPr>
          <w:p w14:paraId="0D0FE808" w14:textId="2663DB30" w:rsidR="008659DF" w:rsidRPr="004D14D9" w:rsidRDefault="008659DF" w:rsidP="003C2BF1">
            <w:pPr>
              <w:spacing w:after="0" w:line="240" w:lineRule="auto"/>
              <w:rPr>
                <w:rFonts w:ascii="Times New Roman" w:hAnsi="Times New Roman"/>
                <w:sz w:val="20"/>
                <w:szCs w:val="20"/>
              </w:rPr>
            </w:pPr>
            <w:r w:rsidRPr="004D14D9">
              <w:rPr>
                <w:rFonts w:ascii="Times New Roman" w:hAnsi="Times New Roman"/>
                <w:sz w:val="20"/>
                <w:szCs w:val="20"/>
              </w:rPr>
              <w:t>Text nou</w:t>
            </w:r>
          </w:p>
        </w:tc>
        <w:tc>
          <w:tcPr>
            <w:tcW w:w="6520" w:type="dxa"/>
          </w:tcPr>
          <w:p w14:paraId="36453D72" w14:textId="67524FB4" w:rsidR="008659DF" w:rsidRPr="004D14D9" w:rsidRDefault="008659DF" w:rsidP="003C2BF1">
            <w:pPr>
              <w:spacing w:after="0" w:line="240" w:lineRule="auto"/>
              <w:jc w:val="both"/>
              <w:rPr>
                <w:rFonts w:ascii="Times New Roman" w:hAnsi="Times New Roman"/>
                <w:sz w:val="20"/>
                <w:szCs w:val="20"/>
              </w:rPr>
            </w:pPr>
            <w:r w:rsidRPr="004D14D9">
              <w:rPr>
                <w:rFonts w:ascii="Times New Roman" w:hAnsi="Times New Roman"/>
                <w:sz w:val="20"/>
                <w:szCs w:val="20"/>
              </w:rPr>
              <w:t xml:space="preserve">În procesul de stabilire, respectiv de decizie finală cu privire la cheltuielile care au făcut obiectul verificărilor structurii de control din cadrul Ministerului Finanțelor Publice și care vor fi incluse în aplicațiile de plată sau vor fi excluse definitiv de la declarare, a fost completat art. 20, prin introducerea a trei alineate noi. Acestea reglementează că decizia finală cu privire la declararea/certificarea cheltuielilor, respectiv nedeclararea/necertificarea acestora aparține autorității de certificare, ulterior activității de investigare derulată de către structura de control din cadrul Ministerului Finanțelor Publice. Este necesară stabilirea formatului standard al deciziei de neeligibilitate emisă de Autoritatea de Certificare prin ordin al ministrului finanțelor publice </w:t>
            </w:r>
          </w:p>
        </w:tc>
      </w:tr>
      <w:tr w:rsidR="008659DF" w:rsidRPr="004D14D9" w14:paraId="23D1AD20" w14:textId="77777777" w:rsidTr="003C2BF1">
        <w:trPr>
          <w:trHeight w:val="849"/>
        </w:trPr>
        <w:tc>
          <w:tcPr>
            <w:tcW w:w="569" w:type="dxa"/>
          </w:tcPr>
          <w:p w14:paraId="0AAA4714" w14:textId="3DEB6956" w:rsidR="008659DF" w:rsidRPr="004D14D9" w:rsidRDefault="008659DF" w:rsidP="003C2BF1">
            <w:pPr>
              <w:spacing w:after="0" w:line="240" w:lineRule="auto"/>
              <w:jc w:val="center"/>
              <w:rPr>
                <w:rFonts w:ascii="Times New Roman" w:hAnsi="Times New Roman"/>
                <w:b/>
                <w:sz w:val="20"/>
                <w:szCs w:val="20"/>
              </w:rPr>
            </w:pPr>
            <w:r w:rsidRPr="004D14D9">
              <w:rPr>
                <w:rFonts w:ascii="Times New Roman" w:hAnsi="Times New Roman"/>
                <w:b/>
                <w:sz w:val="20"/>
                <w:szCs w:val="20"/>
              </w:rPr>
              <w:t>7</w:t>
            </w:r>
          </w:p>
        </w:tc>
        <w:tc>
          <w:tcPr>
            <w:tcW w:w="4698" w:type="dxa"/>
          </w:tcPr>
          <w:p w14:paraId="0C7BB98F" w14:textId="77777777" w:rsidR="008659DF" w:rsidRPr="004D14D9" w:rsidRDefault="008659DF" w:rsidP="003C2BF1">
            <w:pPr>
              <w:pStyle w:val="NormalWeb"/>
              <w:spacing w:before="0" w:beforeAutospacing="0" w:after="0" w:afterAutospacing="0"/>
              <w:jc w:val="both"/>
              <w:rPr>
                <w:rFonts w:eastAsia="Calibri"/>
                <w:b/>
                <w:sz w:val="20"/>
                <w:szCs w:val="20"/>
                <w:lang w:eastAsia="en-US"/>
              </w:rPr>
            </w:pPr>
            <w:r w:rsidRPr="004D14D9">
              <w:rPr>
                <w:rFonts w:eastAsia="Calibri"/>
                <w:b/>
                <w:sz w:val="20"/>
                <w:szCs w:val="20"/>
                <w:lang w:eastAsia="en-US"/>
              </w:rPr>
              <w:t>Art. 27 alin. (1)</w:t>
            </w:r>
          </w:p>
          <w:p w14:paraId="41756EFB" w14:textId="16B92F1F" w:rsidR="008659DF" w:rsidRPr="004D14D9" w:rsidRDefault="008659DF" w:rsidP="003C2BF1">
            <w:pPr>
              <w:pStyle w:val="ListParagraph"/>
              <w:spacing w:after="0" w:line="240" w:lineRule="auto"/>
              <w:ind w:left="0"/>
              <w:jc w:val="both"/>
              <w:rPr>
                <w:rFonts w:ascii="Times New Roman" w:hAnsi="Times New Roman"/>
                <w:sz w:val="20"/>
                <w:szCs w:val="20"/>
              </w:rPr>
            </w:pPr>
            <w:r w:rsidRPr="004D14D9">
              <w:rPr>
                <w:rFonts w:ascii="Times New Roman" w:hAnsi="Times New Roman"/>
                <w:sz w:val="20"/>
                <w:szCs w:val="20"/>
              </w:rPr>
              <w:t xml:space="preserve">”(1) În cazul în care se constată nereguli determinate de abaterile prevăzute în </w:t>
            </w:r>
            <w:r w:rsidRPr="004D14D9">
              <w:rPr>
                <w:rFonts w:ascii="Times New Roman" w:hAnsi="Times New Roman"/>
                <w:b/>
                <w:sz w:val="20"/>
                <w:szCs w:val="20"/>
              </w:rPr>
              <w:t>anexe</w:t>
            </w:r>
            <w:r w:rsidRPr="004D14D9">
              <w:rPr>
                <w:rFonts w:ascii="Times New Roman" w:hAnsi="Times New Roman"/>
                <w:sz w:val="20"/>
                <w:szCs w:val="20"/>
              </w:rPr>
              <w:t xml:space="preserve">, în aplicarea de către beneficiari a prevederilor </w:t>
            </w:r>
            <w:r w:rsidR="001D085B" w:rsidRPr="004D14D9">
              <w:rPr>
                <w:rFonts w:ascii="Times New Roman" w:hAnsi="Times New Roman"/>
                <w:sz w:val="20"/>
                <w:szCs w:val="20"/>
              </w:rPr>
              <w:t xml:space="preserve">în domeniul </w:t>
            </w:r>
            <w:r w:rsidR="001D085B" w:rsidRPr="004D14D9">
              <w:rPr>
                <w:rFonts w:ascii="Times New Roman" w:hAnsi="Times New Roman"/>
                <w:b/>
                <w:sz w:val="20"/>
                <w:szCs w:val="20"/>
              </w:rPr>
              <w:t>achizițiilor publice/ achizițiilor sectoriale/concesiunilor de lucări și servicii</w:t>
            </w:r>
            <w:r w:rsidR="001D085B" w:rsidRPr="004D14D9">
              <w:rPr>
                <w:rFonts w:ascii="Times New Roman" w:hAnsi="Times New Roman"/>
                <w:sz w:val="20"/>
                <w:szCs w:val="20"/>
              </w:rPr>
              <w:t xml:space="preserve">, </w:t>
            </w:r>
            <w:r w:rsidRPr="004D14D9">
              <w:rPr>
                <w:rFonts w:ascii="Times New Roman" w:hAnsi="Times New Roman"/>
                <w:sz w:val="20"/>
                <w:szCs w:val="20"/>
              </w:rPr>
              <w:t xml:space="preserve">în raport </w:t>
            </w:r>
            <w:r w:rsidR="001D085B" w:rsidRPr="004D14D9">
              <w:rPr>
                <w:rFonts w:ascii="Times New Roman" w:hAnsi="Times New Roman"/>
                <w:sz w:val="20"/>
                <w:szCs w:val="20"/>
              </w:rPr>
              <w:t xml:space="preserve">fie </w:t>
            </w:r>
            <w:r w:rsidRPr="004D14D9">
              <w:rPr>
                <w:rFonts w:ascii="Times New Roman" w:hAnsi="Times New Roman"/>
                <w:sz w:val="20"/>
                <w:szCs w:val="20"/>
              </w:rPr>
              <w:t xml:space="preserve">cu reglementările naționale în vigoare în domeniul </w:t>
            </w:r>
            <w:r w:rsidRPr="004D14D9">
              <w:rPr>
                <w:rFonts w:ascii="Times New Roman" w:hAnsi="Times New Roman"/>
                <w:b/>
                <w:sz w:val="20"/>
                <w:szCs w:val="20"/>
              </w:rPr>
              <w:t>achizițiilor</w:t>
            </w:r>
            <w:r w:rsidRPr="004D14D9">
              <w:rPr>
                <w:rFonts w:ascii="Times New Roman" w:hAnsi="Times New Roman"/>
                <w:sz w:val="20"/>
                <w:szCs w:val="20"/>
              </w:rPr>
              <w:t xml:space="preserve"> </w:t>
            </w:r>
            <w:r w:rsidRPr="004D14D9">
              <w:rPr>
                <w:rFonts w:ascii="Times New Roman" w:hAnsi="Times New Roman"/>
                <w:b/>
                <w:sz w:val="20"/>
                <w:szCs w:val="20"/>
              </w:rPr>
              <w:t>publice</w:t>
            </w:r>
            <w:r w:rsidR="00113826" w:rsidRPr="004D14D9">
              <w:rPr>
                <w:rFonts w:ascii="Times New Roman" w:hAnsi="Times New Roman"/>
                <w:b/>
                <w:sz w:val="20"/>
                <w:szCs w:val="20"/>
              </w:rPr>
              <w:t>/ achizițiilor sectoriale/concesiunilor de lucări și servicii</w:t>
            </w:r>
            <w:r w:rsidRPr="004D14D9">
              <w:rPr>
                <w:rFonts w:ascii="Times New Roman" w:hAnsi="Times New Roman"/>
                <w:sz w:val="20"/>
                <w:szCs w:val="20"/>
              </w:rPr>
              <w:t xml:space="preserve">, fie cu reglementările </w:t>
            </w:r>
            <w:r w:rsidRPr="004D14D9">
              <w:rPr>
                <w:rFonts w:ascii="Times New Roman" w:hAnsi="Times New Roman"/>
                <w:b/>
                <w:sz w:val="20"/>
                <w:szCs w:val="20"/>
              </w:rPr>
              <w:t>europene</w:t>
            </w:r>
            <w:r w:rsidRPr="004D14D9">
              <w:rPr>
                <w:rFonts w:ascii="Times New Roman" w:hAnsi="Times New Roman"/>
                <w:sz w:val="20"/>
                <w:szCs w:val="20"/>
              </w:rPr>
              <w:t xml:space="preserve"> aferente programelor cărora le sunt aplicabile alte prevederi decât cele ale Ordonanței de urgență a Guvernului nr. 34/2006, aprobată cu modificări și completări prin Legea nr. 337/2006, cu modificările și completările ulterioare, </w:t>
            </w:r>
            <w:r w:rsidRPr="004D14D9">
              <w:rPr>
                <w:rFonts w:ascii="Times New Roman" w:hAnsi="Times New Roman"/>
                <w:b/>
                <w:sz w:val="20"/>
                <w:szCs w:val="20"/>
              </w:rPr>
              <w:t>sau ale Legii nr. 98/2016 privind achiziţiile publice, cu modificările şi completările ulterioare,</w:t>
            </w:r>
            <w:r w:rsidR="00B92F21" w:rsidRPr="004D14D9">
              <w:rPr>
                <w:rFonts w:ascii="Times New Roman" w:hAnsi="Times New Roman"/>
                <w:sz w:val="20"/>
                <w:szCs w:val="20"/>
              </w:rPr>
              <w:t xml:space="preserve"> </w:t>
            </w:r>
            <w:r w:rsidR="00B92F21" w:rsidRPr="004D14D9">
              <w:rPr>
                <w:rFonts w:ascii="Times New Roman" w:hAnsi="Times New Roman"/>
                <w:b/>
                <w:sz w:val="20"/>
                <w:szCs w:val="20"/>
              </w:rPr>
              <w:t xml:space="preserve">ale Legii nr. 99/2016 privind achizițiile sectoriale, cu modificările și completările ulterioare și ale Legii nr. 100/2016  privind concesiunile de </w:t>
            </w:r>
            <w:r w:rsidR="00B92F21" w:rsidRPr="004D14D9">
              <w:rPr>
                <w:rFonts w:ascii="Times New Roman" w:hAnsi="Times New Roman"/>
                <w:b/>
                <w:sz w:val="20"/>
                <w:szCs w:val="20"/>
              </w:rPr>
              <w:lastRenderedPageBreak/>
              <w:t xml:space="preserve">lucrări și concesiunile de servicii, cu modificările și completările ulterioare, </w:t>
            </w:r>
            <w:r w:rsidRPr="004D14D9">
              <w:rPr>
                <w:rFonts w:ascii="Times New Roman" w:hAnsi="Times New Roman"/>
                <w:sz w:val="20"/>
                <w:szCs w:val="20"/>
              </w:rPr>
              <w:t xml:space="preserve"> fie cu procedurile specifice/instrucțiunile de achiziții aplicabile beneficiarilor privați, se emit note de constatare a neregulilor și de stabilire a corecțiilor financiare cu aplicarea corespunzătoare a prevederilor art. 20 și 21.”</w:t>
            </w:r>
          </w:p>
        </w:tc>
        <w:tc>
          <w:tcPr>
            <w:tcW w:w="3806" w:type="dxa"/>
            <w:vAlign w:val="center"/>
          </w:tcPr>
          <w:p w14:paraId="19CDC863" w14:textId="77777777" w:rsidR="008659DF" w:rsidRPr="004D14D9" w:rsidRDefault="008659DF" w:rsidP="003C2BF1">
            <w:pPr>
              <w:pStyle w:val="NormalWeb"/>
              <w:spacing w:before="0" w:beforeAutospacing="0" w:after="0" w:afterAutospacing="0"/>
              <w:jc w:val="both"/>
              <w:rPr>
                <w:rFonts w:eastAsia="Calibri"/>
                <w:sz w:val="20"/>
                <w:szCs w:val="20"/>
                <w:lang w:eastAsia="en-US"/>
              </w:rPr>
            </w:pPr>
            <w:r w:rsidRPr="004D14D9">
              <w:rPr>
                <w:rFonts w:eastAsia="Calibri"/>
                <w:sz w:val="20"/>
                <w:szCs w:val="20"/>
                <w:lang w:eastAsia="en-US"/>
              </w:rPr>
              <w:lastRenderedPageBreak/>
              <w:t>Art. 27 alin. (1)</w:t>
            </w:r>
          </w:p>
          <w:p w14:paraId="512F6D2C" w14:textId="11B8D07D" w:rsidR="008659DF" w:rsidRPr="004D14D9" w:rsidRDefault="008659DF" w:rsidP="003C2BF1">
            <w:pPr>
              <w:spacing w:after="0" w:line="240" w:lineRule="auto"/>
              <w:jc w:val="both"/>
              <w:rPr>
                <w:rFonts w:ascii="Times New Roman" w:hAnsi="Times New Roman"/>
                <w:sz w:val="20"/>
                <w:szCs w:val="20"/>
              </w:rPr>
            </w:pPr>
            <w:r w:rsidRPr="004D14D9">
              <w:rPr>
                <w:rFonts w:ascii="Times New Roman" w:hAnsi="Times New Roman"/>
                <w:sz w:val="20"/>
                <w:szCs w:val="20"/>
              </w:rPr>
              <w:t xml:space="preserve"> (1) În cazul în care se constată nereguli determinate de abaterile prevăzute în anexă, în aplicarea de către beneficiari a prevederilor privind procedurile de achiziţie, în raport fie cu reglementările naţionale în vigoare în domeniul achiziţiilor publice, fie cu reglementările comunitare aferente programelor cărora le sunt aplicabile alte prevederi decât cele ale </w:t>
            </w:r>
            <w:bookmarkStart w:id="2" w:name="REF64"/>
            <w:bookmarkEnd w:id="2"/>
            <w:r w:rsidRPr="004D14D9">
              <w:rPr>
                <w:rFonts w:ascii="Times New Roman" w:hAnsi="Times New Roman"/>
                <w:sz w:val="20"/>
                <w:szCs w:val="20"/>
              </w:rPr>
              <w:t>Ordonanţei de urgenţă a Guvernului nr. 34/2006, aprobată cu modificări şi completări prin </w:t>
            </w:r>
            <w:bookmarkStart w:id="3" w:name="REF65"/>
            <w:bookmarkEnd w:id="3"/>
            <w:r w:rsidRPr="004D14D9">
              <w:rPr>
                <w:rFonts w:ascii="Times New Roman" w:hAnsi="Times New Roman"/>
                <w:sz w:val="20"/>
                <w:szCs w:val="20"/>
              </w:rPr>
              <w:t xml:space="preserve">Legea nr. 337/2006, cu modificările şi completările ulterioare, fie cu procedurile specifice/ instrucţiunile de achiziţii aplicabile beneficiarilor privaţi, se emit note de constatare a neregulilor şi de stabilire a corecţiilor financiare cu aplicarea </w:t>
            </w:r>
            <w:r w:rsidRPr="004D14D9">
              <w:rPr>
                <w:rFonts w:ascii="Times New Roman" w:hAnsi="Times New Roman"/>
                <w:sz w:val="20"/>
                <w:szCs w:val="20"/>
              </w:rPr>
              <w:lastRenderedPageBreak/>
              <w:t>corespunzătoare a prevederilor art. 20 şi 21.</w:t>
            </w:r>
          </w:p>
        </w:tc>
        <w:tc>
          <w:tcPr>
            <w:tcW w:w="6520" w:type="dxa"/>
          </w:tcPr>
          <w:p w14:paraId="7031A6B2" w14:textId="77777777" w:rsidR="008659DF" w:rsidRPr="004D14D9" w:rsidRDefault="008659DF" w:rsidP="003C2BF1">
            <w:pPr>
              <w:spacing w:after="0" w:line="240" w:lineRule="auto"/>
              <w:jc w:val="both"/>
              <w:rPr>
                <w:rFonts w:ascii="Times New Roman" w:hAnsi="Times New Roman"/>
                <w:sz w:val="20"/>
                <w:szCs w:val="20"/>
              </w:rPr>
            </w:pPr>
            <w:r w:rsidRPr="004D14D9">
              <w:rPr>
                <w:rFonts w:ascii="Times New Roman" w:hAnsi="Times New Roman"/>
                <w:sz w:val="20"/>
                <w:szCs w:val="20"/>
              </w:rPr>
              <w:lastRenderedPageBreak/>
              <w:t xml:space="preserve">Având în vedere faptul că la data de 14 mai 2019, Comisia Europeană a aprobat, prin Decizia CE C(2019) 3452, Ghidul privind stabilirea corecțiilor financiare pentru abateri de la respectarea normelor de achiziții publice pentru cheltuielile finanțate de Uniunea Europeană, este necesară introducerea noii anexe. </w:t>
            </w:r>
          </w:p>
          <w:p w14:paraId="3BD4F818" w14:textId="74D2CE5D" w:rsidR="008659DF" w:rsidRPr="004D14D9" w:rsidRDefault="008659DF" w:rsidP="003C2BF1">
            <w:pPr>
              <w:spacing w:after="0" w:line="240" w:lineRule="auto"/>
              <w:jc w:val="both"/>
              <w:rPr>
                <w:rFonts w:ascii="Times New Roman" w:hAnsi="Times New Roman"/>
                <w:i/>
                <w:sz w:val="20"/>
                <w:szCs w:val="20"/>
              </w:rPr>
            </w:pPr>
            <w:r w:rsidRPr="004D14D9">
              <w:rPr>
                <w:rFonts w:ascii="Times New Roman" w:hAnsi="Times New Roman"/>
                <w:sz w:val="20"/>
                <w:szCs w:val="20"/>
              </w:rPr>
              <w:t xml:space="preserve">O dată cu adoptarea Tratatului Constituțional de la Lisabona Uniunea Europeană a dobândit personalitate juridică succedând comunitățile europene Prin urmare a fost înlocuită sintagma </w:t>
            </w:r>
            <w:r w:rsidRPr="004D14D9">
              <w:rPr>
                <w:rFonts w:ascii="Times New Roman" w:hAnsi="Times New Roman"/>
                <w:i/>
                <w:sz w:val="20"/>
                <w:szCs w:val="20"/>
              </w:rPr>
              <w:t>comunitare</w:t>
            </w:r>
            <w:r w:rsidRPr="004D14D9">
              <w:rPr>
                <w:rFonts w:ascii="Times New Roman" w:hAnsi="Times New Roman"/>
                <w:sz w:val="20"/>
                <w:szCs w:val="20"/>
              </w:rPr>
              <w:t xml:space="preserve"> cu </w:t>
            </w:r>
            <w:r w:rsidRPr="004D14D9">
              <w:rPr>
                <w:rFonts w:ascii="Times New Roman" w:hAnsi="Times New Roman"/>
                <w:i/>
                <w:sz w:val="20"/>
                <w:szCs w:val="20"/>
              </w:rPr>
              <w:t>europene.</w:t>
            </w:r>
          </w:p>
          <w:p w14:paraId="743E8D41" w14:textId="6D903CDA" w:rsidR="008659DF" w:rsidRPr="004D14D9" w:rsidRDefault="008659DF" w:rsidP="003C2BF1">
            <w:pPr>
              <w:pStyle w:val="NoSpacing"/>
              <w:spacing w:before="60" w:after="60"/>
              <w:ind w:left="57"/>
              <w:jc w:val="both"/>
              <w:rPr>
                <w:rFonts w:ascii="Times New Roman" w:hAnsi="Times New Roman"/>
                <w:sz w:val="20"/>
                <w:szCs w:val="20"/>
                <w:lang w:val="ro-RO"/>
              </w:rPr>
            </w:pPr>
            <w:r w:rsidRPr="004D14D9">
              <w:rPr>
                <w:rFonts w:ascii="Times New Roman" w:hAnsi="Times New Roman"/>
                <w:sz w:val="20"/>
                <w:szCs w:val="20"/>
                <w:lang w:val="ro-RO"/>
              </w:rPr>
              <w:t>Ca urmare a modificărilor cadrului legal legislativ aplicabil in domeniul achizițiilor publice. este necesară introducerea trimiterii și la Legea nr. 98/2016</w:t>
            </w:r>
            <w:r w:rsidR="00F07648" w:rsidRPr="004D14D9">
              <w:rPr>
                <w:rFonts w:ascii="Times New Roman" w:hAnsi="Times New Roman"/>
                <w:sz w:val="20"/>
                <w:szCs w:val="20"/>
                <w:lang w:val="ro-RO"/>
              </w:rPr>
              <w:t>, Legea nr. 99/2016 și Legea nr.100/2016</w:t>
            </w:r>
            <w:r w:rsidRPr="004D14D9">
              <w:rPr>
                <w:rFonts w:ascii="Times New Roman" w:hAnsi="Times New Roman"/>
                <w:sz w:val="20"/>
                <w:szCs w:val="20"/>
                <w:lang w:val="ro-RO"/>
              </w:rPr>
              <w:t xml:space="preserve"> în textul OUG.</w:t>
            </w:r>
          </w:p>
          <w:p w14:paraId="237C1098" w14:textId="36C6CBDF" w:rsidR="008659DF" w:rsidRPr="004D14D9" w:rsidRDefault="00113826" w:rsidP="003C2BF1">
            <w:pPr>
              <w:spacing w:after="0" w:line="240" w:lineRule="auto"/>
              <w:jc w:val="both"/>
              <w:rPr>
                <w:rFonts w:ascii="Times New Roman" w:hAnsi="Times New Roman"/>
                <w:sz w:val="20"/>
                <w:szCs w:val="20"/>
              </w:rPr>
            </w:pPr>
            <w:r w:rsidRPr="004D14D9">
              <w:rPr>
                <w:rFonts w:ascii="Times New Roman" w:hAnsi="Times New Roman"/>
                <w:sz w:val="20"/>
                <w:szCs w:val="20"/>
              </w:rPr>
              <w:t>S-a făcut  și corelarea cu cadrul legislativ aplicabil în domeniul achizițiilor publice.</w:t>
            </w:r>
          </w:p>
        </w:tc>
      </w:tr>
      <w:tr w:rsidR="008C6366" w:rsidRPr="004D14D9" w14:paraId="5C131CC1" w14:textId="77777777" w:rsidTr="003C2BF1">
        <w:trPr>
          <w:trHeight w:val="849"/>
        </w:trPr>
        <w:tc>
          <w:tcPr>
            <w:tcW w:w="569" w:type="dxa"/>
          </w:tcPr>
          <w:p w14:paraId="57328B75" w14:textId="22514160" w:rsidR="008C6366" w:rsidRPr="004D14D9" w:rsidRDefault="008E37AC" w:rsidP="003C2BF1">
            <w:pPr>
              <w:spacing w:after="0" w:line="240" w:lineRule="auto"/>
              <w:jc w:val="center"/>
              <w:rPr>
                <w:rFonts w:ascii="Times New Roman" w:hAnsi="Times New Roman"/>
                <w:b/>
                <w:sz w:val="20"/>
                <w:szCs w:val="20"/>
              </w:rPr>
            </w:pPr>
            <w:r w:rsidRPr="004D14D9">
              <w:rPr>
                <w:rFonts w:ascii="Times New Roman" w:hAnsi="Times New Roman"/>
                <w:b/>
                <w:sz w:val="20"/>
                <w:szCs w:val="20"/>
              </w:rPr>
              <w:lastRenderedPageBreak/>
              <w:t>8</w:t>
            </w:r>
          </w:p>
        </w:tc>
        <w:tc>
          <w:tcPr>
            <w:tcW w:w="4698" w:type="dxa"/>
          </w:tcPr>
          <w:p w14:paraId="6B7BD691" w14:textId="77777777" w:rsidR="00E5756B" w:rsidRPr="004D14D9" w:rsidRDefault="008C6366" w:rsidP="003C2BF1">
            <w:pPr>
              <w:pStyle w:val="ListParagraph"/>
              <w:ind w:left="0"/>
              <w:jc w:val="both"/>
              <w:rPr>
                <w:rFonts w:ascii="Times New Roman" w:hAnsi="Times New Roman"/>
                <w:b/>
                <w:sz w:val="20"/>
                <w:szCs w:val="20"/>
              </w:rPr>
            </w:pPr>
            <w:r w:rsidRPr="004D14D9">
              <w:rPr>
                <w:rFonts w:ascii="Times New Roman" w:hAnsi="Times New Roman"/>
                <w:b/>
                <w:sz w:val="20"/>
                <w:szCs w:val="20"/>
              </w:rPr>
              <w:t xml:space="preserve">Art. 27 alin (3) </w:t>
            </w:r>
          </w:p>
          <w:p w14:paraId="491CEB15" w14:textId="7EFAE537" w:rsidR="008C6366" w:rsidRPr="004D14D9" w:rsidRDefault="00087FA4" w:rsidP="003C2BF1">
            <w:pPr>
              <w:pStyle w:val="ListParagraph"/>
              <w:ind w:left="0"/>
              <w:jc w:val="both"/>
              <w:rPr>
                <w:rFonts w:ascii="Times New Roman" w:hAnsi="Times New Roman"/>
                <w:b/>
                <w:sz w:val="20"/>
                <w:szCs w:val="20"/>
              </w:rPr>
            </w:pPr>
            <w:r w:rsidRPr="004D14D9">
              <w:rPr>
                <w:rFonts w:ascii="Times New Roman" w:hAnsi="Times New Roman"/>
                <w:sz w:val="20"/>
                <w:szCs w:val="20"/>
              </w:rPr>
              <w:t>Pentru abaterile de la aplicarea prevederilor în domeniul achiziţii</w:t>
            </w:r>
            <w:r w:rsidR="00F701AC" w:rsidRPr="004D14D9">
              <w:rPr>
                <w:rFonts w:ascii="Times New Roman" w:hAnsi="Times New Roman"/>
                <w:sz w:val="20"/>
                <w:szCs w:val="20"/>
              </w:rPr>
              <w:t>lor</w:t>
            </w:r>
            <w:r w:rsidRPr="004D14D9">
              <w:rPr>
                <w:rFonts w:ascii="Times New Roman" w:hAnsi="Times New Roman"/>
                <w:sz w:val="20"/>
                <w:szCs w:val="20"/>
              </w:rPr>
              <w:t xml:space="preserve"> publice</w:t>
            </w:r>
            <w:r w:rsidRPr="004D14D9">
              <w:rPr>
                <w:rFonts w:ascii="Times New Roman" w:hAnsi="Times New Roman"/>
                <w:b/>
                <w:sz w:val="20"/>
                <w:szCs w:val="20"/>
              </w:rPr>
              <w:t>/ achiziții</w:t>
            </w:r>
            <w:r w:rsidR="00F701AC" w:rsidRPr="004D14D9">
              <w:rPr>
                <w:rFonts w:ascii="Times New Roman" w:hAnsi="Times New Roman"/>
                <w:b/>
                <w:sz w:val="20"/>
                <w:szCs w:val="20"/>
              </w:rPr>
              <w:t>lor</w:t>
            </w:r>
            <w:r w:rsidRPr="004D14D9">
              <w:rPr>
                <w:rFonts w:ascii="Times New Roman" w:hAnsi="Times New Roman"/>
                <w:b/>
                <w:sz w:val="20"/>
                <w:szCs w:val="20"/>
              </w:rPr>
              <w:t xml:space="preserve"> sectoriale/concesiuni</w:t>
            </w:r>
            <w:r w:rsidR="00F701AC" w:rsidRPr="004D14D9">
              <w:rPr>
                <w:rFonts w:ascii="Times New Roman" w:hAnsi="Times New Roman"/>
                <w:b/>
                <w:sz w:val="20"/>
                <w:szCs w:val="20"/>
              </w:rPr>
              <w:t>lor</w:t>
            </w:r>
            <w:r w:rsidRPr="004D14D9">
              <w:rPr>
                <w:rFonts w:ascii="Times New Roman" w:hAnsi="Times New Roman"/>
                <w:b/>
                <w:sz w:val="20"/>
                <w:szCs w:val="20"/>
              </w:rPr>
              <w:t xml:space="preserve"> de lucrări și servicii</w:t>
            </w:r>
            <w:r w:rsidRPr="004D14D9">
              <w:rPr>
                <w:rFonts w:ascii="Times New Roman" w:hAnsi="Times New Roman"/>
                <w:sz w:val="20"/>
                <w:szCs w:val="20"/>
              </w:rPr>
              <w:t>, care nu au niciun impact financiar, nu se aplică corecții financiare.</w:t>
            </w:r>
          </w:p>
        </w:tc>
        <w:tc>
          <w:tcPr>
            <w:tcW w:w="3806" w:type="dxa"/>
            <w:vAlign w:val="center"/>
          </w:tcPr>
          <w:p w14:paraId="6282F3FE" w14:textId="77777777" w:rsidR="008C6366" w:rsidRPr="004D14D9" w:rsidRDefault="008C6366" w:rsidP="003C2BF1">
            <w:pPr>
              <w:autoSpaceDE w:val="0"/>
              <w:autoSpaceDN w:val="0"/>
              <w:adjustRightInd w:val="0"/>
              <w:spacing w:after="0" w:line="240" w:lineRule="auto"/>
              <w:jc w:val="both"/>
              <w:rPr>
                <w:rFonts w:ascii="Times New Roman" w:hAnsi="Times New Roman"/>
                <w:b/>
                <w:sz w:val="20"/>
                <w:szCs w:val="20"/>
              </w:rPr>
            </w:pPr>
            <w:r w:rsidRPr="004D14D9">
              <w:rPr>
                <w:rFonts w:ascii="Times New Roman" w:hAnsi="Times New Roman"/>
                <w:b/>
                <w:bCs/>
                <w:sz w:val="20"/>
                <w:szCs w:val="20"/>
                <w:lang w:eastAsia="ro-RO"/>
              </w:rPr>
              <w:t>Art. 27 alin (</w:t>
            </w:r>
            <w:r w:rsidRPr="004D14D9">
              <w:rPr>
                <w:rFonts w:ascii="Times New Roman" w:hAnsi="Times New Roman"/>
                <w:b/>
                <w:sz w:val="20"/>
                <w:szCs w:val="20"/>
              </w:rPr>
              <w:t xml:space="preserve">3) </w:t>
            </w:r>
          </w:p>
          <w:p w14:paraId="75736DD3" w14:textId="54D73768" w:rsidR="008C6366" w:rsidRPr="004D14D9" w:rsidRDefault="008C6366" w:rsidP="003C2BF1">
            <w:pPr>
              <w:autoSpaceDE w:val="0"/>
              <w:autoSpaceDN w:val="0"/>
              <w:adjustRightInd w:val="0"/>
              <w:spacing w:after="0" w:line="240" w:lineRule="auto"/>
              <w:jc w:val="both"/>
              <w:rPr>
                <w:rFonts w:ascii="Times New Roman" w:hAnsi="Times New Roman"/>
                <w:sz w:val="20"/>
                <w:szCs w:val="20"/>
              </w:rPr>
            </w:pPr>
            <w:r w:rsidRPr="004D14D9">
              <w:rPr>
                <w:rFonts w:ascii="Times New Roman" w:hAnsi="Times New Roman"/>
                <w:sz w:val="20"/>
                <w:szCs w:val="20"/>
              </w:rPr>
              <w:t xml:space="preserve">Pentru neregulile rezultate din abateri de la aplicarea prevederilor privind procedurile de achiziţie, care nu au niciun impact financiar, nu se aplică corecţii financiare. </w:t>
            </w:r>
            <w:r w:rsidRPr="004D14D9">
              <w:rPr>
                <w:rFonts w:ascii="Times New Roman" w:hAnsi="Times New Roman"/>
                <w:b/>
                <w:sz w:val="20"/>
                <w:szCs w:val="20"/>
              </w:rPr>
              <w:t>Situaţiile care pot fi constatate ca fiind fără impact financiar sunt prevăzute în normele metodologice de aplicare a prezentei ordonanţe de urgenţă.</w:t>
            </w:r>
          </w:p>
        </w:tc>
        <w:tc>
          <w:tcPr>
            <w:tcW w:w="6520" w:type="dxa"/>
          </w:tcPr>
          <w:p w14:paraId="0FACBD5F" w14:textId="77777777" w:rsidR="008C6366" w:rsidRPr="004D14D9" w:rsidRDefault="008C6366" w:rsidP="003C2BF1">
            <w:pPr>
              <w:pStyle w:val="NoSpacing"/>
              <w:spacing w:before="60" w:after="60"/>
              <w:jc w:val="both"/>
              <w:rPr>
                <w:rFonts w:ascii="Times New Roman" w:hAnsi="Times New Roman"/>
                <w:sz w:val="20"/>
                <w:szCs w:val="20"/>
                <w:lang w:val="ro-RO"/>
              </w:rPr>
            </w:pPr>
            <w:r w:rsidRPr="004D14D9">
              <w:rPr>
                <w:rFonts w:ascii="Times New Roman" w:hAnsi="Times New Roman"/>
                <w:sz w:val="20"/>
                <w:szCs w:val="20"/>
                <w:lang w:val="ro-RO"/>
              </w:rPr>
              <w:t xml:space="preserve">Abaterile fără impact nu sunt nereguli. </w:t>
            </w:r>
          </w:p>
          <w:p w14:paraId="42C61CC1" w14:textId="77777777" w:rsidR="008C6366" w:rsidRPr="004D14D9" w:rsidRDefault="008C6366" w:rsidP="003C2BF1">
            <w:pPr>
              <w:pStyle w:val="Header"/>
              <w:jc w:val="both"/>
              <w:rPr>
                <w:rFonts w:ascii="Times New Roman" w:hAnsi="Times New Roman"/>
                <w:sz w:val="20"/>
                <w:szCs w:val="20"/>
              </w:rPr>
            </w:pPr>
            <w:r w:rsidRPr="004D14D9">
              <w:rPr>
                <w:rFonts w:ascii="Times New Roman" w:hAnsi="Times New Roman"/>
                <w:sz w:val="20"/>
                <w:szCs w:val="20"/>
              </w:rPr>
              <w:t xml:space="preserve">Reformularea este necesară pentru claritatea intenţiei de reglementare. Astfel, se elimină doar obligaţia de enumerare a situaţiilor fără impact financiar în normele de aplicare, acestea neputând fi apreciate limitativ. </w:t>
            </w:r>
          </w:p>
          <w:p w14:paraId="4549F45A" w14:textId="77777777" w:rsidR="004E2CE9" w:rsidRPr="004D14D9" w:rsidRDefault="004E2CE9" w:rsidP="003C2BF1">
            <w:pPr>
              <w:pStyle w:val="Header"/>
              <w:jc w:val="both"/>
              <w:rPr>
                <w:rFonts w:ascii="Times New Roman" w:hAnsi="Times New Roman"/>
                <w:sz w:val="20"/>
                <w:szCs w:val="20"/>
              </w:rPr>
            </w:pPr>
          </w:p>
          <w:p w14:paraId="684938C0" w14:textId="5BA4C84B" w:rsidR="004E2CE9" w:rsidRPr="004D14D9" w:rsidRDefault="004E2CE9" w:rsidP="003C2BF1">
            <w:pPr>
              <w:pStyle w:val="Header"/>
              <w:jc w:val="both"/>
              <w:rPr>
                <w:rFonts w:ascii="Times New Roman" w:hAnsi="Times New Roman"/>
                <w:sz w:val="20"/>
                <w:szCs w:val="20"/>
              </w:rPr>
            </w:pPr>
            <w:r w:rsidRPr="004D14D9">
              <w:rPr>
                <w:rFonts w:ascii="Times New Roman" w:hAnsi="Times New Roman"/>
                <w:sz w:val="20"/>
                <w:szCs w:val="20"/>
              </w:rPr>
              <w:t>S-a făcut  și corelarea cu cadrul legislativ aplicabil în domeniul achizițiilor publice.</w:t>
            </w:r>
          </w:p>
        </w:tc>
      </w:tr>
      <w:tr w:rsidR="008659DF" w:rsidRPr="004D14D9" w14:paraId="59D3C52D" w14:textId="77777777" w:rsidTr="003C2BF1">
        <w:trPr>
          <w:trHeight w:val="849"/>
        </w:trPr>
        <w:tc>
          <w:tcPr>
            <w:tcW w:w="569" w:type="dxa"/>
          </w:tcPr>
          <w:p w14:paraId="45D02793" w14:textId="6751B19D" w:rsidR="008659DF" w:rsidRPr="004D14D9" w:rsidRDefault="008E37AC" w:rsidP="003C2BF1">
            <w:pPr>
              <w:spacing w:after="0" w:line="240" w:lineRule="auto"/>
              <w:jc w:val="center"/>
              <w:rPr>
                <w:rFonts w:ascii="Times New Roman" w:hAnsi="Times New Roman"/>
                <w:b/>
                <w:sz w:val="20"/>
                <w:szCs w:val="20"/>
              </w:rPr>
            </w:pPr>
            <w:r w:rsidRPr="004D14D9">
              <w:rPr>
                <w:rFonts w:ascii="Times New Roman" w:hAnsi="Times New Roman"/>
                <w:b/>
                <w:sz w:val="20"/>
                <w:szCs w:val="20"/>
              </w:rPr>
              <w:t>9</w:t>
            </w:r>
          </w:p>
        </w:tc>
        <w:tc>
          <w:tcPr>
            <w:tcW w:w="4698" w:type="dxa"/>
          </w:tcPr>
          <w:p w14:paraId="18E64347" w14:textId="77777777" w:rsidR="008659DF" w:rsidRPr="004D14D9" w:rsidRDefault="008659DF" w:rsidP="003C2BF1">
            <w:pPr>
              <w:pStyle w:val="NormalWeb"/>
              <w:spacing w:before="0" w:beforeAutospacing="0" w:after="0" w:afterAutospacing="0"/>
              <w:jc w:val="both"/>
              <w:rPr>
                <w:rFonts w:eastAsia="Calibri"/>
                <w:b/>
                <w:sz w:val="20"/>
                <w:szCs w:val="20"/>
                <w:lang w:eastAsia="en-US"/>
              </w:rPr>
            </w:pPr>
            <w:r w:rsidRPr="004D14D9">
              <w:rPr>
                <w:rFonts w:eastAsia="Calibri"/>
                <w:b/>
                <w:sz w:val="20"/>
                <w:szCs w:val="20"/>
                <w:lang w:eastAsia="en-US"/>
              </w:rPr>
              <w:t>Art. 27 alin. (5)</w:t>
            </w:r>
          </w:p>
          <w:p w14:paraId="5D8B07BF" w14:textId="38CFDC2D" w:rsidR="008659DF" w:rsidRPr="004D14D9" w:rsidRDefault="008659DF" w:rsidP="003C2BF1">
            <w:pPr>
              <w:pStyle w:val="ListParagraph"/>
              <w:spacing w:after="0" w:line="240" w:lineRule="auto"/>
              <w:ind w:left="0"/>
              <w:jc w:val="both"/>
              <w:rPr>
                <w:rFonts w:ascii="Times New Roman" w:hAnsi="Times New Roman"/>
                <w:sz w:val="20"/>
                <w:szCs w:val="20"/>
              </w:rPr>
            </w:pPr>
            <w:r w:rsidRPr="004D14D9">
              <w:rPr>
                <w:rFonts w:ascii="Times New Roman" w:hAnsi="Times New Roman"/>
                <w:sz w:val="20"/>
                <w:szCs w:val="20"/>
              </w:rPr>
              <w:t xml:space="preserve">”(5) Pentru alte abateri care nu sunt definite în </w:t>
            </w:r>
            <w:r w:rsidRPr="004D14D9">
              <w:rPr>
                <w:rFonts w:ascii="Times New Roman" w:hAnsi="Times New Roman"/>
                <w:b/>
                <w:sz w:val="20"/>
                <w:szCs w:val="20"/>
              </w:rPr>
              <w:t>anexe</w:t>
            </w:r>
            <w:r w:rsidRPr="004D14D9">
              <w:rPr>
                <w:rFonts w:ascii="Times New Roman" w:hAnsi="Times New Roman"/>
                <w:sz w:val="20"/>
                <w:szCs w:val="20"/>
              </w:rPr>
              <w:t xml:space="preserve">, autoritatea cu competențe în gestionarea fondurilor europene aplică corecții financiare, în concordanță cu principiul proporționalității sau, acolo unde este posibil, prin analogie cu abaterile identificate în </w:t>
            </w:r>
            <w:r w:rsidRPr="004D14D9">
              <w:rPr>
                <w:rFonts w:ascii="Times New Roman" w:hAnsi="Times New Roman"/>
                <w:b/>
                <w:sz w:val="20"/>
                <w:szCs w:val="20"/>
              </w:rPr>
              <w:t>anexe</w:t>
            </w:r>
            <w:r w:rsidRPr="004D14D9">
              <w:rPr>
                <w:rFonts w:ascii="Times New Roman" w:hAnsi="Times New Roman"/>
                <w:sz w:val="20"/>
                <w:szCs w:val="20"/>
              </w:rPr>
              <w:t>.”</w:t>
            </w:r>
          </w:p>
        </w:tc>
        <w:tc>
          <w:tcPr>
            <w:tcW w:w="3806" w:type="dxa"/>
            <w:vAlign w:val="center"/>
          </w:tcPr>
          <w:p w14:paraId="2B907C87" w14:textId="77777777" w:rsidR="008659DF" w:rsidRPr="004D14D9" w:rsidRDefault="008659DF" w:rsidP="003C2BF1">
            <w:pPr>
              <w:pStyle w:val="NormalWeb"/>
              <w:spacing w:before="0" w:beforeAutospacing="0" w:after="0" w:afterAutospacing="0"/>
              <w:jc w:val="both"/>
              <w:rPr>
                <w:rFonts w:eastAsia="Calibri"/>
                <w:b/>
                <w:sz w:val="20"/>
                <w:szCs w:val="20"/>
                <w:lang w:eastAsia="en-US"/>
              </w:rPr>
            </w:pPr>
            <w:r w:rsidRPr="004D14D9">
              <w:rPr>
                <w:rFonts w:eastAsia="Calibri"/>
                <w:b/>
                <w:sz w:val="20"/>
                <w:szCs w:val="20"/>
                <w:lang w:eastAsia="en-US"/>
              </w:rPr>
              <w:t>Art. 27 alin. (5)</w:t>
            </w:r>
          </w:p>
          <w:p w14:paraId="39B4FFF5" w14:textId="551D00EE" w:rsidR="008659DF" w:rsidRPr="004D14D9" w:rsidRDefault="008659DF" w:rsidP="003C2BF1">
            <w:pPr>
              <w:spacing w:after="0" w:line="240" w:lineRule="auto"/>
              <w:jc w:val="both"/>
              <w:rPr>
                <w:rFonts w:ascii="Times New Roman" w:hAnsi="Times New Roman"/>
                <w:sz w:val="20"/>
                <w:szCs w:val="20"/>
              </w:rPr>
            </w:pPr>
            <w:r w:rsidRPr="004D14D9">
              <w:rPr>
                <w:rFonts w:ascii="Times New Roman" w:hAnsi="Times New Roman"/>
                <w:sz w:val="20"/>
                <w:szCs w:val="20"/>
              </w:rPr>
              <w:t>”(5) Pentru alte abateri care nu sunt definite în anexă, autoritatea cu competenţe în gestionarea fondurilor europene aplică corecţii financiare, în concordanţă cu principiul proporţionalităţii sau, acolo unde este posibil, prin analogie cu abaterile identificate în anexă.”</w:t>
            </w:r>
          </w:p>
        </w:tc>
        <w:tc>
          <w:tcPr>
            <w:tcW w:w="6520" w:type="dxa"/>
          </w:tcPr>
          <w:p w14:paraId="6FCC1E1C" w14:textId="2C6853A7" w:rsidR="008659DF" w:rsidRPr="004D14D9" w:rsidRDefault="008659DF" w:rsidP="003C2BF1">
            <w:pPr>
              <w:spacing w:after="0" w:line="240" w:lineRule="auto"/>
              <w:jc w:val="both"/>
              <w:rPr>
                <w:rFonts w:ascii="Times New Roman" w:hAnsi="Times New Roman"/>
                <w:sz w:val="20"/>
                <w:szCs w:val="20"/>
              </w:rPr>
            </w:pPr>
            <w:r w:rsidRPr="004D14D9">
              <w:rPr>
                <w:rFonts w:ascii="Times New Roman" w:hAnsi="Times New Roman"/>
                <w:sz w:val="20"/>
                <w:szCs w:val="20"/>
              </w:rPr>
              <w:t>Având în vedere faptul că la data de 14 mai 2019, Comisia Europeană a aprobat, prin Decizia CE C(2019) 3452, Ghidul privind stabilirea corecțiilor financiare pentru abateri de la respectarea normelor de achiziții publice pentru cheltuielile finanțate de Uniunea Europeană, este necesară introducerea noii anexe.</w:t>
            </w:r>
          </w:p>
        </w:tc>
      </w:tr>
      <w:tr w:rsidR="008659DF" w:rsidRPr="004D14D9" w14:paraId="58C4F69F" w14:textId="77777777" w:rsidTr="003C2BF1">
        <w:trPr>
          <w:trHeight w:val="849"/>
        </w:trPr>
        <w:tc>
          <w:tcPr>
            <w:tcW w:w="569" w:type="dxa"/>
          </w:tcPr>
          <w:p w14:paraId="1B372A33" w14:textId="607B223D" w:rsidR="008659DF" w:rsidRPr="004D14D9" w:rsidRDefault="008E37AC" w:rsidP="003C2BF1">
            <w:pPr>
              <w:spacing w:after="0" w:line="240" w:lineRule="auto"/>
              <w:jc w:val="center"/>
              <w:rPr>
                <w:rFonts w:ascii="Times New Roman" w:hAnsi="Times New Roman"/>
                <w:b/>
                <w:sz w:val="20"/>
                <w:szCs w:val="20"/>
              </w:rPr>
            </w:pPr>
            <w:r w:rsidRPr="004D14D9">
              <w:rPr>
                <w:rFonts w:ascii="Times New Roman" w:hAnsi="Times New Roman"/>
                <w:b/>
                <w:sz w:val="20"/>
                <w:szCs w:val="20"/>
              </w:rPr>
              <w:t>10</w:t>
            </w:r>
          </w:p>
        </w:tc>
        <w:tc>
          <w:tcPr>
            <w:tcW w:w="4698" w:type="dxa"/>
          </w:tcPr>
          <w:p w14:paraId="53AEAC51" w14:textId="77777777" w:rsidR="008659DF" w:rsidRPr="004D14D9" w:rsidRDefault="008659DF" w:rsidP="003C2BF1">
            <w:pPr>
              <w:pStyle w:val="NormalWeb"/>
              <w:spacing w:before="0" w:beforeAutospacing="0" w:after="0" w:afterAutospacing="0"/>
              <w:jc w:val="both"/>
              <w:rPr>
                <w:rFonts w:eastAsia="Calibri"/>
                <w:b/>
                <w:sz w:val="20"/>
                <w:szCs w:val="20"/>
                <w:lang w:eastAsia="en-US"/>
              </w:rPr>
            </w:pPr>
            <w:r w:rsidRPr="004D14D9">
              <w:rPr>
                <w:rFonts w:eastAsia="Calibri"/>
                <w:b/>
                <w:sz w:val="20"/>
                <w:szCs w:val="20"/>
                <w:lang w:eastAsia="en-US"/>
              </w:rPr>
              <w:t>Art. 28 alin. (2)</w:t>
            </w:r>
          </w:p>
          <w:p w14:paraId="2E5A9A3B" w14:textId="7545F2A5" w:rsidR="008659DF" w:rsidRPr="004D14D9" w:rsidRDefault="008659DF" w:rsidP="003C2BF1">
            <w:pPr>
              <w:pStyle w:val="ListParagraph"/>
              <w:spacing w:after="0" w:line="240" w:lineRule="auto"/>
              <w:ind w:left="0"/>
              <w:jc w:val="both"/>
              <w:rPr>
                <w:rFonts w:ascii="Times New Roman" w:hAnsi="Times New Roman"/>
                <w:sz w:val="20"/>
                <w:szCs w:val="20"/>
              </w:rPr>
            </w:pPr>
            <w:r w:rsidRPr="004D14D9">
              <w:rPr>
                <w:rFonts w:ascii="Times New Roman" w:hAnsi="Times New Roman"/>
                <w:sz w:val="20"/>
                <w:szCs w:val="20"/>
              </w:rPr>
              <w:t>”(2) În aplicarea prevederilor alin. (1), autoritatea cu competențe în gestionarea fondurilor europene aplică, în mod preventiv, reducerea procentuală maximă aferentă abaterii în aplicarea reglementărilor privind achizițiile</w:t>
            </w:r>
            <w:r w:rsidR="007245FC" w:rsidRPr="004D14D9">
              <w:rPr>
                <w:rFonts w:ascii="Times New Roman" w:hAnsi="Times New Roman"/>
                <w:sz w:val="20"/>
                <w:szCs w:val="20"/>
              </w:rPr>
              <w:t xml:space="preserve"> </w:t>
            </w:r>
            <w:r w:rsidR="007245FC" w:rsidRPr="004D14D9">
              <w:rPr>
                <w:rFonts w:ascii="Times New Roman" w:hAnsi="Times New Roman"/>
                <w:b/>
                <w:sz w:val="20"/>
                <w:szCs w:val="20"/>
              </w:rPr>
              <w:t>publice/ achiziții sectoriale/concesiuni de lucrări și servicii</w:t>
            </w:r>
            <w:r w:rsidRPr="004D14D9">
              <w:rPr>
                <w:rFonts w:ascii="Times New Roman" w:hAnsi="Times New Roman"/>
                <w:sz w:val="20"/>
                <w:szCs w:val="20"/>
              </w:rPr>
              <w:t xml:space="preserve">, stabilită, potrivit prevederilor </w:t>
            </w:r>
            <w:r w:rsidRPr="004D14D9">
              <w:rPr>
                <w:rFonts w:ascii="Times New Roman" w:hAnsi="Times New Roman"/>
                <w:b/>
                <w:sz w:val="20"/>
                <w:szCs w:val="20"/>
              </w:rPr>
              <w:t>anexelor</w:t>
            </w:r>
            <w:r w:rsidRPr="004D14D9">
              <w:rPr>
                <w:rFonts w:ascii="Times New Roman" w:hAnsi="Times New Roman"/>
                <w:sz w:val="20"/>
                <w:szCs w:val="20"/>
              </w:rPr>
              <w:t>:”</w:t>
            </w:r>
          </w:p>
        </w:tc>
        <w:tc>
          <w:tcPr>
            <w:tcW w:w="3806" w:type="dxa"/>
            <w:vAlign w:val="center"/>
          </w:tcPr>
          <w:p w14:paraId="721617D7" w14:textId="77777777" w:rsidR="008659DF" w:rsidRPr="004D14D9" w:rsidRDefault="008659DF" w:rsidP="003C2BF1">
            <w:pPr>
              <w:pStyle w:val="NormalWeb"/>
              <w:spacing w:before="0" w:beforeAutospacing="0" w:after="0" w:afterAutospacing="0"/>
              <w:jc w:val="both"/>
              <w:rPr>
                <w:rFonts w:eastAsia="Calibri"/>
                <w:b/>
                <w:sz w:val="20"/>
                <w:szCs w:val="20"/>
                <w:lang w:eastAsia="en-US"/>
              </w:rPr>
            </w:pPr>
            <w:r w:rsidRPr="004D14D9">
              <w:rPr>
                <w:rFonts w:eastAsia="Calibri"/>
                <w:b/>
                <w:sz w:val="20"/>
                <w:szCs w:val="20"/>
                <w:lang w:eastAsia="en-US"/>
              </w:rPr>
              <w:t>Art. 28 alin. (2)</w:t>
            </w:r>
          </w:p>
          <w:p w14:paraId="64DB89A5" w14:textId="5AAB073E" w:rsidR="008659DF" w:rsidRPr="004D14D9" w:rsidRDefault="008659DF" w:rsidP="003C2BF1">
            <w:pPr>
              <w:spacing w:after="0" w:line="240" w:lineRule="auto"/>
              <w:jc w:val="both"/>
              <w:rPr>
                <w:rFonts w:ascii="Times New Roman" w:hAnsi="Times New Roman"/>
                <w:sz w:val="20"/>
                <w:szCs w:val="20"/>
              </w:rPr>
            </w:pPr>
            <w:r w:rsidRPr="004D14D9">
              <w:rPr>
                <w:rFonts w:ascii="Times New Roman" w:hAnsi="Times New Roman"/>
                <w:sz w:val="20"/>
                <w:szCs w:val="20"/>
              </w:rPr>
              <w:t>”(2) În aplicarea prevederilor alin. (1), autoritatea cu competenţe în gestionarea fondurilor europene aplică, în mod preventiv, reducerea procentuală maximă aferentă abaterii în aplicarea reglementărilor privind achiziţiile, stabilită, potrivit prevederilor anexei. ”</w:t>
            </w:r>
          </w:p>
        </w:tc>
        <w:tc>
          <w:tcPr>
            <w:tcW w:w="6520" w:type="dxa"/>
          </w:tcPr>
          <w:p w14:paraId="177AAC2A" w14:textId="77777777" w:rsidR="008659DF" w:rsidRPr="004D14D9" w:rsidRDefault="008659DF" w:rsidP="003C2BF1">
            <w:pPr>
              <w:spacing w:after="0" w:line="240" w:lineRule="auto"/>
              <w:jc w:val="both"/>
              <w:rPr>
                <w:rFonts w:ascii="Times New Roman" w:hAnsi="Times New Roman"/>
                <w:sz w:val="20"/>
                <w:szCs w:val="20"/>
              </w:rPr>
            </w:pPr>
            <w:r w:rsidRPr="004D14D9">
              <w:rPr>
                <w:rFonts w:ascii="Times New Roman" w:hAnsi="Times New Roman"/>
                <w:sz w:val="20"/>
                <w:szCs w:val="20"/>
              </w:rPr>
              <w:t>Având în vedere faptul că la data de 14 mai 2019, Comisia Europeană a aprobat, prin Decizia CE C(2019) 3452, Ghidul privind stabilirea corecțiilor financiare pentru abateri de la respectarea normelor de achiziții publice pentru cheltuielile finanțate de Uniunea Europeană, este necesară introducerea noii anexe.</w:t>
            </w:r>
          </w:p>
          <w:p w14:paraId="5FC0B1CC" w14:textId="7E71D8CA" w:rsidR="007245FC" w:rsidRPr="004D14D9" w:rsidRDefault="007245FC" w:rsidP="003C2BF1">
            <w:pPr>
              <w:spacing w:after="0" w:line="240" w:lineRule="auto"/>
              <w:jc w:val="both"/>
              <w:rPr>
                <w:rFonts w:ascii="Times New Roman" w:hAnsi="Times New Roman"/>
                <w:sz w:val="20"/>
                <w:szCs w:val="20"/>
              </w:rPr>
            </w:pPr>
            <w:r w:rsidRPr="004D14D9">
              <w:rPr>
                <w:rFonts w:ascii="Times New Roman" w:hAnsi="Times New Roman"/>
                <w:sz w:val="20"/>
                <w:szCs w:val="20"/>
              </w:rPr>
              <w:t>S-a făcut  și corelarea cu cadrul legislativ aplicabil domeniului achizițiilor publice</w:t>
            </w:r>
          </w:p>
          <w:p w14:paraId="553C7254" w14:textId="652810DB" w:rsidR="007245FC" w:rsidRPr="004D14D9" w:rsidRDefault="007245FC" w:rsidP="003C2BF1">
            <w:pPr>
              <w:spacing w:after="0" w:line="240" w:lineRule="auto"/>
              <w:jc w:val="both"/>
              <w:rPr>
                <w:rFonts w:ascii="Times New Roman" w:hAnsi="Times New Roman"/>
                <w:sz w:val="20"/>
                <w:szCs w:val="20"/>
              </w:rPr>
            </w:pPr>
          </w:p>
        </w:tc>
      </w:tr>
      <w:tr w:rsidR="008659DF" w:rsidRPr="004D14D9" w14:paraId="59D7B72D" w14:textId="77777777" w:rsidTr="003C2BF1">
        <w:trPr>
          <w:trHeight w:val="849"/>
        </w:trPr>
        <w:tc>
          <w:tcPr>
            <w:tcW w:w="569" w:type="dxa"/>
          </w:tcPr>
          <w:p w14:paraId="378297A2" w14:textId="5AB66561" w:rsidR="008659DF" w:rsidRPr="004D14D9" w:rsidRDefault="008E37AC" w:rsidP="003C2BF1">
            <w:pPr>
              <w:spacing w:after="0" w:line="240" w:lineRule="auto"/>
              <w:jc w:val="center"/>
              <w:rPr>
                <w:rFonts w:ascii="Times New Roman" w:hAnsi="Times New Roman"/>
                <w:b/>
                <w:sz w:val="20"/>
                <w:szCs w:val="20"/>
              </w:rPr>
            </w:pPr>
            <w:r w:rsidRPr="004D14D9">
              <w:rPr>
                <w:rFonts w:ascii="Times New Roman" w:hAnsi="Times New Roman"/>
                <w:b/>
                <w:sz w:val="20"/>
                <w:szCs w:val="20"/>
              </w:rPr>
              <w:t>11</w:t>
            </w:r>
            <w:r w:rsidR="008659DF" w:rsidRPr="004D14D9">
              <w:rPr>
                <w:rFonts w:ascii="Times New Roman" w:hAnsi="Times New Roman"/>
                <w:b/>
                <w:sz w:val="20"/>
                <w:szCs w:val="20"/>
              </w:rPr>
              <w:t xml:space="preserve"> </w:t>
            </w:r>
          </w:p>
        </w:tc>
        <w:tc>
          <w:tcPr>
            <w:tcW w:w="4698" w:type="dxa"/>
          </w:tcPr>
          <w:p w14:paraId="2F55415F" w14:textId="417D7CF3" w:rsidR="002D0DAC" w:rsidRPr="004D14D9" w:rsidRDefault="002D0DAC" w:rsidP="003C2BF1">
            <w:pPr>
              <w:pStyle w:val="NormalWeb"/>
              <w:spacing w:before="0" w:beforeAutospacing="0" w:after="0" w:afterAutospacing="0"/>
              <w:jc w:val="both"/>
              <w:rPr>
                <w:rFonts w:eastAsia="Calibri"/>
                <w:b/>
                <w:sz w:val="20"/>
                <w:szCs w:val="20"/>
                <w:lang w:eastAsia="en-US"/>
              </w:rPr>
            </w:pPr>
          </w:p>
          <w:p w14:paraId="27FFEAD5" w14:textId="0CEF8B33" w:rsidR="008659DF" w:rsidRPr="004D14D9" w:rsidRDefault="005E3D59" w:rsidP="00615390">
            <w:pPr>
              <w:pStyle w:val="NormalWeb"/>
              <w:spacing w:before="0" w:beforeAutospacing="0" w:after="0" w:afterAutospacing="0"/>
              <w:jc w:val="both"/>
              <w:rPr>
                <w:rFonts w:eastAsia="Calibri"/>
                <w:sz w:val="20"/>
                <w:szCs w:val="20"/>
                <w:lang w:eastAsia="en-US"/>
              </w:rPr>
            </w:pPr>
            <w:r w:rsidRPr="004D14D9">
              <w:rPr>
                <w:rFonts w:eastAsia="Calibri"/>
                <w:sz w:val="20"/>
                <w:szCs w:val="20"/>
                <w:lang w:eastAsia="en-US"/>
              </w:rPr>
              <w:t>Anexa „Abateri de la respectarea normelor în materie de achiziții pentru care se aplică reduceri procentuale/corecții financiare” se numerotează și devine anexa nr. 1.</w:t>
            </w:r>
          </w:p>
        </w:tc>
        <w:tc>
          <w:tcPr>
            <w:tcW w:w="3806" w:type="dxa"/>
            <w:vAlign w:val="center"/>
          </w:tcPr>
          <w:p w14:paraId="1FE0C413" w14:textId="54017290" w:rsidR="008659DF" w:rsidRPr="004D14D9" w:rsidRDefault="008659DF" w:rsidP="003C2BF1">
            <w:pPr>
              <w:pStyle w:val="NormalWeb"/>
              <w:spacing w:before="0" w:beforeAutospacing="0" w:after="0" w:afterAutospacing="0"/>
              <w:jc w:val="both"/>
              <w:rPr>
                <w:rFonts w:eastAsia="Calibri"/>
                <w:b/>
                <w:sz w:val="20"/>
                <w:szCs w:val="20"/>
                <w:lang w:eastAsia="en-US"/>
              </w:rPr>
            </w:pPr>
            <w:r w:rsidRPr="004D14D9">
              <w:rPr>
                <w:rFonts w:eastAsia="Calibri"/>
                <w:sz w:val="20"/>
                <w:szCs w:val="20"/>
                <w:lang w:eastAsia="en-US"/>
              </w:rPr>
              <w:t>Anexa „Abateri de la respectarea normelor în materie de achiziții pentru care se aplică reduceri procentuale/corecții financiare”</w:t>
            </w:r>
          </w:p>
        </w:tc>
        <w:tc>
          <w:tcPr>
            <w:tcW w:w="6520" w:type="dxa"/>
          </w:tcPr>
          <w:p w14:paraId="0CCEC673" w14:textId="1E9DB066" w:rsidR="008659DF" w:rsidRPr="004D14D9" w:rsidRDefault="008659DF" w:rsidP="003C2BF1">
            <w:pPr>
              <w:spacing w:after="0" w:line="240" w:lineRule="auto"/>
              <w:jc w:val="both"/>
              <w:rPr>
                <w:rFonts w:ascii="Times New Roman" w:hAnsi="Times New Roman"/>
                <w:sz w:val="20"/>
                <w:szCs w:val="20"/>
              </w:rPr>
            </w:pPr>
            <w:r w:rsidRPr="004D14D9">
              <w:rPr>
                <w:rFonts w:ascii="Times New Roman" w:hAnsi="Times New Roman"/>
                <w:sz w:val="20"/>
                <w:szCs w:val="20"/>
              </w:rPr>
              <w:t xml:space="preserve">Este necesară numerotarea anexelor dată fiind introducerea unei noi anexe. </w:t>
            </w:r>
          </w:p>
        </w:tc>
      </w:tr>
      <w:tr w:rsidR="008659DF" w:rsidRPr="004D14D9" w14:paraId="2F760B64" w14:textId="77777777" w:rsidTr="003C2BF1">
        <w:trPr>
          <w:trHeight w:val="849"/>
        </w:trPr>
        <w:tc>
          <w:tcPr>
            <w:tcW w:w="569" w:type="dxa"/>
          </w:tcPr>
          <w:p w14:paraId="481D0E7C" w14:textId="74B9B91E" w:rsidR="008659DF" w:rsidRPr="004D14D9" w:rsidRDefault="008E37AC" w:rsidP="003C2BF1">
            <w:pPr>
              <w:spacing w:after="0" w:line="240" w:lineRule="auto"/>
              <w:jc w:val="center"/>
              <w:rPr>
                <w:rFonts w:ascii="Times New Roman" w:hAnsi="Times New Roman"/>
                <w:b/>
                <w:sz w:val="20"/>
                <w:szCs w:val="20"/>
              </w:rPr>
            </w:pPr>
            <w:r w:rsidRPr="004D14D9">
              <w:rPr>
                <w:rFonts w:ascii="Times New Roman" w:hAnsi="Times New Roman"/>
                <w:b/>
                <w:sz w:val="20"/>
                <w:szCs w:val="20"/>
              </w:rPr>
              <w:lastRenderedPageBreak/>
              <w:t>12</w:t>
            </w:r>
          </w:p>
        </w:tc>
        <w:tc>
          <w:tcPr>
            <w:tcW w:w="4698" w:type="dxa"/>
          </w:tcPr>
          <w:p w14:paraId="1DC17827" w14:textId="5CBBCB2A" w:rsidR="008659DF" w:rsidRPr="004D14D9" w:rsidRDefault="005E3D59" w:rsidP="0014541C">
            <w:pPr>
              <w:pStyle w:val="Default"/>
              <w:jc w:val="both"/>
              <w:rPr>
                <w:rFonts w:eastAsia="Calibri"/>
                <w:color w:val="auto"/>
                <w:sz w:val="20"/>
                <w:szCs w:val="20"/>
                <w:lang w:val="ro-RO"/>
              </w:rPr>
            </w:pPr>
            <w:r w:rsidRPr="004D14D9">
              <w:rPr>
                <w:sz w:val="20"/>
                <w:szCs w:val="20"/>
              </w:rPr>
              <w:t xml:space="preserve">După anexa nr. 1 se introduce o nouă anexă, anexa nr. 2, </w:t>
            </w:r>
            <w:r w:rsidR="00D83956" w:rsidRPr="004D14D9">
              <w:rPr>
                <w:rFonts w:eastAsia="Calibri"/>
                <w:color w:val="auto"/>
                <w:sz w:val="20"/>
                <w:szCs w:val="20"/>
                <w:lang w:val="ro-RO"/>
              </w:rPr>
              <w:t xml:space="preserve">„Abateri de la respectarea prevederilor legale în materie de achiziții publice/achiziții sectoriale/concesiuni pentru care se aplică reduceri procentuale/corecții financiare în acord cu Decizia CE C (2019) 3452 din 14 mai 2019”, având </w:t>
            </w:r>
            <w:r w:rsidR="0014541C" w:rsidRPr="004D14D9">
              <w:rPr>
                <w:rFonts w:eastAsia="Calibri"/>
                <w:color w:val="auto"/>
                <w:sz w:val="20"/>
                <w:szCs w:val="20"/>
                <w:lang w:val="ro-RO"/>
              </w:rPr>
              <w:t xml:space="preserve">cuprinsul </w:t>
            </w:r>
            <w:r w:rsidR="00D83956" w:rsidRPr="004D14D9">
              <w:rPr>
                <w:rFonts w:eastAsia="Calibri"/>
                <w:color w:val="auto"/>
                <w:sz w:val="20"/>
                <w:szCs w:val="20"/>
                <w:lang w:val="ro-RO"/>
              </w:rPr>
              <w:t>prevăzut în anexa la prezenta ordonanță de urgență.</w:t>
            </w:r>
          </w:p>
        </w:tc>
        <w:tc>
          <w:tcPr>
            <w:tcW w:w="3806" w:type="dxa"/>
            <w:vAlign w:val="center"/>
          </w:tcPr>
          <w:p w14:paraId="222B2B97" w14:textId="410D8DB4" w:rsidR="008659DF" w:rsidRPr="004D14D9" w:rsidRDefault="008659DF" w:rsidP="003C2BF1">
            <w:pPr>
              <w:pStyle w:val="NormalWeb"/>
              <w:spacing w:before="0" w:beforeAutospacing="0" w:after="0" w:afterAutospacing="0"/>
              <w:jc w:val="both"/>
              <w:rPr>
                <w:rFonts w:eastAsia="Calibri"/>
                <w:sz w:val="20"/>
                <w:szCs w:val="20"/>
                <w:lang w:eastAsia="en-US"/>
              </w:rPr>
            </w:pPr>
            <w:r w:rsidRPr="004D14D9">
              <w:rPr>
                <w:rFonts w:eastAsia="Calibri"/>
                <w:sz w:val="20"/>
                <w:szCs w:val="20"/>
                <w:lang w:eastAsia="en-US"/>
              </w:rPr>
              <w:t xml:space="preserve">Text nou </w:t>
            </w:r>
          </w:p>
        </w:tc>
        <w:tc>
          <w:tcPr>
            <w:tcW w:w="6520" w:type="dxa"/>
          </w:tcPr>
          <w:p w14:paraId="6D33F4E7" w14:textId="3B110BD8" w:rsidR="008659DF" w:rsidRPr="004D14D9" w:rsidRDefault="008659DF" w:rsidP="003C2BF1">
            <w:pPr>
              <w:spacing w:after="0" w:line="240" w:lineRule="auto"/>
              <w:jc w:val="both"/>
              <w:rPr>
                <w:rFonts w:ascii="Times New Roman" w:hAnsi="Times New Roman"/>
                <w:sz w:val="20"/>
                <w:szCs w:val="20"/>
              </w:rPr>
            </w:pPr>
            <w:r w:rsidRPr="004D14D9">
              <w:rPr>
                <w:rFonts w:ascii="Times New Roman" w:hAnsi="Times New Roman"/>
                <w:sz w:val="20"/>
                <w:szCs w:val="20"/>
              </w:rPr>
              <w:t>Având în vedere faptul că la data de 14 mai 2019, Comisia Europeană a aprobat, prin Decizia CE C(2019) 3452, Ghidul privind stabilirea corecțiilor financiare pentru abateri de la respectarea normelor de achiziții publice pentru cheltuielile finanțate de Uniunea Europeană, este n</w:t>
            </w:r>
            <w:r w:rsidR="005E3D59" w:rsidRPr="004D14D9">
              <w:rPr>
                <w:rFonts w:ascii="Times New Roman" w:hAnsi="Times New Roman"/>
                <w:sz w:val="20"/>
                <w:szCs w:val="20"/>
              </w:rPr>
              <w:t>ecesară introducerea noii anexe</w:t>
            </w:r>
            <w:r w:rsidR="002D0DAC" w:rsidRPr="004D14D9">
              <w:rPr>
                <w:rFonts w:ascii="Times New Roman" w:hAnsi="Times New Roman"/>
                <w:sz w:val="20"/>
                <w:szCs w:val="20"/>
              </w:rPr>
              <w:t>.</w:t>
            </w:r>
            <w:r w:rsidR="005E3D59" w:rsidRPr="004D14D9">
              <w:rPr>
                <w:rFonts w:ascii="Times New Roman" w:hAnsi="Times New Roman"/>
                <w:sz w:val="20"/>
                <w:szCs w:val="20"/>
              </w:rPr>
              <w:t xml:space="preserve"> </w:t>
            </w:r>
          </w:p>
        </w:tc>
      </w:tr>
      <w:tr w:rsidR="00233659" w:rsidRPr="004D14D9" w14:paraId="58CD8F02" w14:textId="77777777" w:rsidTr="003C2BF1">
        <w:trPr>
          <w:trHeight w:val="849"/>
        </w:trPr>
        <w:tc>
          <w:tcPr>
            <w:tcW w:w="569" w:type="dxa"/>
          </w:tcPr>
          <w:p w14:paraId="6BF4BD61" w14:textId="4446D4BC" w:rsidR="00233659" w:rsidRPr="004D14D9" w:rsidRDefault="006D19D9" w:rsidP="003C2BF1">
            <w:pPr>
              <w:spacing w:after="0" w:line="240" w:lineRule="auto"/>
              <w:jc w:val="center"/>
              <w:rPr>
                <w:rFonts w:ascii="Times New Roman" w:hAnsi="Times New Roman"/>
                <w:b/>
                <w:sz w:val="20"/>
                <w:szCs w:val="20"/>
              </w:rPr>
            </w:pPr>
            <w:r w:rsidRPr="004D14D9">
              <w:rPr>
                <w:rFonts w:ascii="Times New Roman" w:hAnsi="Times New Roman"/>
                <w:b/>
                <w:sz w:val="20"/>
                <w:szCs w:val="20"/>
              </w:rPr>
              <w:t>13</w:t>
            </w:r>
            <w:r w:rsidR="00233659" w:rsidRPr="004D14D9">
              <w:rPr>
                <w:rFonts w:ascii="Times New Roman" w:hAnsi="Times New Roman"/>
                <w:b/>
                <w:sz w:val="20"/>
                <w:szCs w:val="20"/>
              </w:rPr>
              <w:t xml:space="preserve"> </w:t>
            </w:r>
          </w:p>
        </w:tc>
        <w:tc>
          <w:tcPr>
            <w:tcW w:w="4698" w:type="dxa"/>
          </w:tcPr>
          <w:p w14:paraId="271210E0" w14:textId="5B3676F3" w:rsidR="00233659" w:rsidRPr="004D14D9" w:rsidRDefault="00233659" w:rsidP="003C2BF1">
            <w:pPr>
              <w:pStyle w:val="Default"/>
              <w:jc w:val="both"/>
              <w:rPr>
                <w:sz w:val="20"/>
                <w:szCs w:val="20"/>
                <w:lang w:val="ro-RO"/>
              </w:rPr>
            </w:pPr>
            <w:r w:rsidRPr="004D14D9">
              <w:rPr>
                <w:rFonts w:eastAsia="Calibri"/>
                <w:color w:val="auto"/>
                <w:sz w:val="20"/>
                <w:szCs w:val="20"/>
                <w:lang w:val="ro-RO"/>
              </w:rPr>
              <w:t>Prevederile Anexei nr. 1, partea 1, Achiziții publice, la Ordonanţa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 astfel cum a fost completată prin prezenta ordonanță de urgență, se aplică abaterilor săvârșite în cadrul procedurilor/contractelor de achiziție publică/achiziție sectorială/concesiuni de lucrări și servicii, înainte de intrarea în vigoare a prezentei Ordonanțe</w:t>
            </w:r>
            <w:r w:rsidR="001B361B" w:rsidRPr="004D14D9">
              <w:rPr>
                <w:rFonts w:eastAsia="Calibri"/>
                <w:color w:val="auto"/>
                <w:sz w:val="20"/>
                <w:szCs w:val="20"/>
                <w:lang w:val="ro-RO"/>
              </w:rPr>
              <w:t xml:space="preserve"> de urgență.</w:t>
            </w:r>
            <w:r w:rsidRPr="004D14D9">
              <w:rPr>
                <w:rFonts w:eastAsia="Calibri"/>
                <w:color w:val="auto"/>
                <w:sz w:val="20"/>
                <w:szCs w:val="20"/>
                <w:lang w:val="ro-RO"/>
              </w:rPr>
              <w:t>.</w:t>
            </w:r>
          </w:p>
        </w:tc>
        <w:tc>
          <w:tcPr>
            <w:tcW w:w="3806" w:type="dxa"/>
            <w:vAlign w:val="center"/>
          </w:tcPr>
          <w:p w14:paraId="7B1E24BB" w14:textId="67A375DF" w:rsidR="00233659" w:rsidRPr="004D14D9" w:rsidRDefault="00233659" w:rsidP="003C2BF1">
            <w:pPr>
              <w:pStyle w:val="NormalWeb"/>
              <w:spacing w:before="0" w:beforeAutospacing="0" w:after="0" w:afterAutospacing="0"/>
              <w:jc w:val="both"/>
              <w:rPr>
                <w:rFonts w:eastAsia="Calibri"/>
                <w:sz w:val="20"/>
                <w:szCs w:val="20"/>
                <w:lang w:eastAsia="en-US"/>
              </w:rPr>
            </w:pPr>
            <w:r w:rsidRPr="004D14D9">
              <w:rPr>
                <w:rFonts w:eastAsia="Calibri"/>
                <w:sz w:val="20"/>
                <w:szCs w:val="20"/>
                <w:lang w:eastAsia="en-US"/>
              </w:rPr>
              <w:t>Text nou</w:t>
            </w:r>
          </w:p>
        </w:tc>
        <w:tc>
          <w:tcPr>
            <w:tcW w:w="6520" w:type="dxa"/>
          </w:tcPr>
          <w:p w14:paraId="4E742573" w14:textId="62CDD550" w:rsidR="00233659" w:rsidRPr="004D14D9" w:rsidRDefault="006D19D9" w:rsidP="006D19D9">
            <w:pPr>
              <w:spacing w:after="0" w:line="240" w:lineRule="auto"/>
              <w:jc w:val="both"/>
              <w:rPr>
                <w:rFonts w:ascii="Times New Roman" w:hAnsi="Times New Roman"/>
                <w:sz w:val="20"/>
                <w:szCs w:val="20"/>
              </w:rPr>
            </w:pPr>
            <w:r w:rsidRPr="004D14D9">
              <w:rPr>
                <w:rFonts w:ascii="Times New Roman" w:hAnsi="Times New Roman"/>
                <w:sz w:val="20"/>
                <w:szCs w:val="20"/>
              </w:rPr>
              <w:t>Pentru evitarea confuziei, este clarificată</w:t>
            </w:r>
            <w:r w:rsidR="00233659" w:rsidRPr="004D14D9">
              <w:rPr>
                <w:rFonts w:ascii="Times New Roman" w:hAnsi="Times New Roman"/>
                <w:sz w:val="20"/>
                <w:szCs w:val="20"/>
              </w:rPr>
              <w:t xml:space="preserve"> aplicabilitatea abaterilor prevăzute în Anexa </w:t>
            </w:r>
            <w:r w:rsidRPr="004D14D9">
              <w:rPr>
                <w:rFonts w:ascii="Times New Roman" w:hAnsi="Times New Roman"/>
                <w:sz w:val="20"/>
                <w:szCs w:val="20"/>
              </w:rPr>
              <w:t>partea 1, Achiziții publice la Ordonanţa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 astfel cum a fost completată prin prezenta ordonanță de urgență.</w:t>
            </w:r>
          </w:p>
        </w:tc>
      </w:tr>
      <w:tr w:rsidR="00F24FCD" w:rsidRPr="004D14D9" w14:paraId="6E801782" w14:textId="77777777" w:rsidTr="003C2BF1">
        <w:trPr>
          <w:trHeight w:val="849"/>
        </w:trPr>
        <w:tc>
          <w:tcPr>
            <w:tcW w:w="569" w:type="dxa"/>
          </w:tcPr>
          <w:p w14:paraId="57CB8C65" w14:textId="235F427B" w:rsidR="00F24FCD" w:rsidRPr="004D14D9" w:rsidRDefault="006D19D9" w:rsidP="003C2BF1">
            <w:pPr>
              <w:spacing w:after="0" w:line="240" w:lineRule="auto"/>
              <w:jc w:val="center"/>
              <w:rPr>
                <w:rFonts w:ascii="Times New Roman" w:hAnsi="Times New Roman"/>
                <w:b/>
                <w:sz w:val="20"/>
                <w:szCs w:val="20"/>
              </w:rPr>
            </w:pPr>
            <w:r w:rsidRPr="004D14D9">
              <w:rPr>
                <w:rFonts w:ascii="Times New Roman" w:hAnsi="Times New Roman"/>
                <w:b/>
                <w:sz w:val="20"/>
                <w:szCs w:val="20"/>
              </w:rPr>
              <w:t>14</w:t>
            </w:r>
          </w:p>
        </w:tc>
        <w:tc>
          <w:tcPr>
            <w:tcW w:w="4698" w:type="dxa"/>
          </w:tcPr>
          <w:p w14:paraId="3158AEFE" w14:textId="530E0AFD" w:rsidR="00233659" w:rsidRPr="004D14D9" w:rsidRDefault="00F24FCD" w:rsidP="00233659">
            <w:pPr>
              <w:pStyle w:val="Default"/>
              <w:jc w:val="both"/>
              <w:rPr>
                <w:sz w:val="20"/>
                <w:szCs w:val="20"/>
                <w:lang w:val="ro-RO"/>
              </w:rPr>
            </w:pPr>
            <w:r w:rsidRPr="004D14D9">
              <w:rPr>
                <w:sz w:val="20"/>
                <w:szCs w:val="20"/>
                <w:lang w:val="ro-RO"/>
              </w:rPr>
              <w:t xml:space="preserve">Prevederile anexei  nr. 2 </w:t>
            </w:r>
            <w:r w:rsidR="00233659" w:rsidRPr="004D14D9">
              <w:rPr>
                <w:sz w:val="20"/>
                <w:szCs w:val="20"/>
                <w:lang w:val="ro-RO"/>
              </w:rPr>
              <w:t xml:space="preserve"> la Ordonanţa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 astfel cum a fost completată prin prezenta ordonanță de urgență, se aplică abaterilor săvârșite în cadrul procedurilor/contractelor  de achiziție publică/achiziție sectorială/concesiuni de lucrări și servicii după data intrării în vigoare a prezentei ordonanțe de urgență.</w:t>
            </w:r>
          </w:p>
          <w:p w14:paraId="36D5E4D2" w14:textId="57FB1935" w:rsidR="00F24FCD" w:rsidRPr="004D14D9" w:rsidRDefault="00F24FCD" w:rsidP="003C2BF1">
            <w:pPr>
              <w:pStyle w:val="Default"/>
              <w:jc w:val="both"/>
              <w:rPr>
                <w:sz w:val="20"/>
                <w:szCs w:val="20"/>
                <w:lang w:val="ro-RO"/>
              </w:rPr>
            </w:pPr>
          </w:p>
        </w:tc>
        <w:tc>
          <w:tcPr>
            <w:tcW w:w="3806" w:type="dxa"/>
            <w:vAlign w:val="center"/>
          </w:tcPr>
          <w:p w14:paraId="46B815DE" w14:textId="4430BA25" w:rsidR="00F24FCD" w:rsidRPr="004D14D9" w:rsidRDefault="00F24FCD" w:rsidP="003C2BF1">
            <w:pPr>
              <w:pStyle w:val="NormalWeb"/>
              <w:spacing w:before="0" w:beforeAutospacing="0" w:after="0" w:afterAutospacing="0"/>
              <w:jc w:val="both"/>
              <w:rPr>
                <w:rFonts w:eastAsia="Calibri"/>
                <w:sz w:val="20"/>
                <w:szCs w:val="20"/>
                <w:lang w:eastAsia="en-US"/>
              </w:rPr>
            </w:pPr>
            <w:r w:rsidRPr="004D14D9">
              <w:rPr>
                <w:rFonts w:eastAsia="Calibri"/>
                <w:sz w:val="20"/>
                <w:szCs w:val="20"/>
                <w:lang w:eastAsia="en-US"/>
              </w:rPr>
              <w:t>Text nou</w:t>
            </w:r>
          </w:p>
        </w:tc>
        <w:tc>
          <w:tcPr>
            <w:tcW w:w="6520" w:type="dxa"/>
          </w:tcPr>
          <w:p w14:paraId="1F2BCDBA" w14:textId="59A5C12F" w:rsidR="00F24FCD" w:rsidRPr="004D14D9" w:rsidRDefault="00F24FCD" w:rsidP="003C2BF1">
            <w:pPr>
              <w:spacing w:after="0" w:line="240" w:lineRule="auto"/>
              <w:jc w:val="both"/>
              <w:rPr>
                <w:rFonts w:ascii="Times New Roman" w:hAnsi="Times New Roman"/>
                <w:sz w:val="20"/>
                <w:szCs w:val="20"/>
              </w:rPr>
            </w:pPr>
            <w:r w:rsidRPr="004D14D9">
              <w:rPr>
                <w:rFonts w:ascii="Times New Roman" w:hAnsi="Times New Roman"/>
                <w:sz w:val="20"/>
                <w:szCs w:val="20"/>
              </w:rPr>
              <w:t>Sunt reglementate atât domeniul de aplicare precum și termenul de la care vor fi aplicate abaterile introduse prin acest act normativ</w:t>
            </w:r>
            <w:r w:rsidR="00663E54" w:rsidRPr="004D14D9">
              <w:rPr>
                <w:rFonts w:ascii="Times New Roman" w:hAnsi="Times New Roman"/>
                <w:sz w:val="20"/>
                <w:szCs w:val="20"/>
              </w:rPr>
              <w:t>.</w:t>
            </w:r>
          </w:p>
        </w:tc>
      </w:tr>
      <w:tr w:rsidR="00C33B7E" w:rsidRPr="004D14D9" w14:paraId="1B11A122" w14:textId="77777777" w:rsidTr="00A9448E">
        <w:trPr>
          <w:trHeight w:val="416"/>
        </w:trPr>
        <w:tc>
          <w:tcPr>
            <w:tcW w:w="569" w:type="dxa"/>
          </w:tcPr>
          <w:p w14:paraId="64929AD1" w14:textId="706B2F18" w:rsidR="00C33B7E" w:rsidRPr="004D14D9" w:rsidRDefault="006D19D9" w:rsidP="003C2BF1">
            <w:pPr>
              <w:spacing w:after="0" w:line="240" w:lineRule="auto"/>
              <w:jc w:val="center"/>
              <w:rPr>
                <w:rFonts w:ascii="Times New Roman" w:hAnsi="Times New Roman"/>
                <w:b/>
                <w:sz w:val="20"/>
                <w:szCs w:val="20"/>
              </w:rPr>
            </w:pPr>
            <w:r w:rsidRPr="004D14D9">
              <w:rPr>
                <w:rFonts w:ascii="Times New Roman" w:hAnsi="Times New Roman"/>
                <w:b/>
                <w:sz w:val="20"/>
                <w:szCs w:val="20"/>
              </w:rPr>
              <w:t>15</w:t>
            </w:r>
          </w:p>
        </w:tc>
        <w:tc>
          <w:tcPr>
            <w:tcW w:w="4698" w:type="dxa"/>
          </w:tcPr>
          <w:p w14:paraId="674A3B96" w14:textId="7A2366AF" w:rsidR="00C33B7E" w:rsidRPr="004D14D9" w:rsidRDefault="00F24FCD" w:rsidP="003C2BF1">
            <w:pPr>
              <w:widowControl w:val="0"/>
              <w:jc w:val="both"/>
              <w:rPr>
                <w:rFonts w:ascii="Times New Roman" w:hAnsi="Times New Roman"/>
                <w:b/>
                <w:sz w:val="20"/>
                <w:szCs w:val="20"/>
              </w:rPr>
            </w:pPr>
            <w:r w:rsidRPr="004D14D9">
              <w:rPr>
                <w:rFonts w:ascii="Times New Roman" w:hAnsi="Times New Roman"/>
                <w:sz w:val="20"/>
                <w:szCs w:val="20"/>
              </w:rPr>
              <w:t xml:space="preserve">Ratele reducerilor procentuale/corecţiilor aferente abaterilor de la respectarea normelor de achiziții publice/achiziții sectoriale/concesiuni de lucrări și servicii pentru cheltuielile finanțate de Uniunea Europeană prevăzute în anexa nr. 2 la Ordonanţa de urgenţă a Guvernului nr. 66/2011 privind prevenirea, </w:t>
            </w:r>
            <w:r w:rsidRPr="004D14D9">
              <w:rPr>
                <w:rFonts w:ascii="Times New Roman" w:hAnsi="Times New Roman"/>
                <w:sz w:val="20"/>
                <w:szCs w:val="20"/>
              </w:rPr>
              <w:lastRenderedPageBreak/>
              <w:t>constatarea şi sancţionarea  neregulilor apărute în obţinerea şi utilizarea fondurilor europene şi/sau a fondurilor publice naţionale aferente acestora, aprobată cu modificări şi completări prin Legea nr. 142/2012, cu modificările şi completările ulterioare, astfel cum a fost completată prin prezena ordonanță de urgență, se aprobă prin hotărâre a Guvernului, la propunerea Ministerului Fondurilor Europene și Ministerului Finanțelor Publice, în termen de 30 de zile de la data intrării în vigoare a prezentei ordonanțe de urgență.</w:t>
            </w:r>
          </w:p>
        </w:tc>
        <w:tc>
          <w:tcPr>
            <w:tcW w:w="3806" w:type="dxa"/>
            <w:vAlign w:val="center"/>
          </w:tcPr>
          <w:p w14:paraId="25DCC668" w14:textId="0A77FBC5" w:rsidR="00C33B7E" w:rsidRPr="004D14D9" w:rsidRDefault="00111920" w:rsidP="003C2BF1">
            <w:pPr>
              <w:pStyle w:val="NormalWeb"/>
              <w:spacing w:before="0" w:beforeAutospacing="0" w:after="0" w:afterAutospacing="0"/>
              <w:jc w:val="both"/>
              <w:rPr>
                <w:rFonts w:eastAsia="Calibri"/>
                <w:sz w:val="20"/>
                <w:szCs w:val="20"/>
                <w:lang w:eastAsia="en-US"/>
              </w:rPr>
            </w:pPr>
            <w:r w:rsidRPr="004D14D9">
              <w:rPr>
                <w:rFonts w:eastAsia="Calibri"/>
                <w:sz w:val="20"/>
                <w:szCs w:val="20"/>
                <w:lang w:eastAsia="en-US"/>
              </w:rPr>
              <w:lastRenderedPageBreak/>
              <w:t>Text nou</w:t>
            </w:r>
          </w:p>
        </w:tc>
        <w:tc>
          <w:tcPr>
            <w:tcW w:w="6520" w:type="dxa"/>
          </w:tcPr>
          <w:p w14:paraId="1650E8AA" w14:textId="1E770E17" w:rsidR="005E3D59" w:rsidRPr="004D14D9" w:rsidRDefault="005E3D59" w:rsidP="003C2BF1">
            <w:pPr>
              <w:spacing w:before="120" w:after="120"/>
              <w:jc w:val="both"/>
              <w:rPr>
                <w:rFonts w:ascii="Times New Roman" w:hAnsi="Times New Roman"/>
                <w:sz w:val="20"/>
                <w:szCs w:val="20"/>
              </w:rPr>
            </w:pPr>
            <w:r w:rsidRPr="004D14D9">
              <w:rPr>
                <w:rFonts w:ascii="Times New Roman" w:hAnsi="Times New Roman"/>
                <w:sz w:val="20"/>
                <w:szCs w:val="20"/>
              </w:rPr>
              <w:t>Preluarea ratelor de corecție prevăzute în Decizie se va face prin Hotărâre a Guvernului la propunerea Ministerului Fondurilor Europene și Ministerului Finanțelor Publice, în termen de 30 de zile de la data intrării în vigoare a prezentei ordonanțe.</w:t>
            </w:r>
          </w:p>
          <w:p w14:paraId="21B44040" w14:textId="77777777" w:rsidR="00C33B7E" w:rsidRPr="004D14D9" w:rsidRDefault="00C33B7E" w:rsidP="003C2BF1">
            <w:pPr>
              <w:spacing w:after="0" w:line="240" w:lineRule="auto"/>
              <w:jc w:val="both"/>
              <w:rPr>
                <w:rFonts w:ascii="Times New Roman" w:hAnsi="Times New Roman"/>
                <w:sz w:val="20"/>
                <w:szCs w:val="20"/>
              </w:rPr>
            </w:pPr>
          </w:p>
        </w:tc>
      </w:tr>
      <w:tr w:rsidR="004D14D9" w:rsidRPr="004D14D9" w14:paraId="7A17D60C" w14:textId="77777777" w:rsidTr="00FA4B94">
        <w:trPr>
          <w:trHeight w:val="849"/>
        </w:trPr>
        <w:tc>
          <w:tcPr>
            <w:tcW w:w="15593" w:type="dxa"/>
            <w:gridSpan w:val="4"/>
          </w:tcPr>
          <w:p w14:paraId="7FF877C6" w14:textId="091FD20B" w:rsidR="004D14D9" w:rsidRPr="004D14D9" w:rsidRDefault="004D14D9" w:rsidP="00267286">
            <w:pPr>
              <w:spacing w:before="120" w:after="120"/>
              <w:jc w:val="both"/>
              <w:rPr>
                <w:rFonts w:ascii="Times New Roman" w:hAnsi="Times New Roman"/>
                <w:b/>
                <w:sz w:val="20"/>
                <w:szCs w:val="20"/>
              </w:rPr>
            </w:pPr>
            <w:r w:rsidRPr="004D14D9">
              <w:rPr>
                <w:rFonts w:ascii="Times New Roman" w:hAnsi="Times New Roman"/>
                <w:b/>
                <w:sz w:val="20"/>
                <w:szCs w:val="20"/>
              </w:rPr>
              <w:lastRenderedPageBreak/>
              <w:t xml:space="preserve">Art. </w:t>
            </w:r>
            <w:r w:rsidR="00267286">
              <w:rPr>
                <w:rFonts w:ascii="Times New Roman" w:hAnsi="Times New Roman"/>
                <w:b/>
                <w:sz w:val="20"/>
                <w:szCs w:val="20"/>
              </w:rPr>
              <w:t>V</w:t>
            </w:r>
            <w:r w:rsidRPr="004D14D9">
              <w:rPr>
                <w:rFonts w:ascii="Times New Roman" w:hAnsi="Times New Roman"/>
                <w:b/>
                <w:sz w:val="20"/>
                <w:szCs w:val="20"/>
              </w:rPr>
              <w:t xml:space="preserve">  Ordonanţa de urgenţă a Guvernului nr. 40 /2015 privind gestionarea financiară a fondurilor europene pentru perioada de programare 2014-2020, publicată în Monitorul Oficial al României Partea I nr. 746 din 6 octombrie 2015, aprobată cu modificări și completări prin Legea nr. 105/2016, se modifică și se completează după cum urmează:</w:t>
            </w:r>
          </w:p>
        </w:tc>
      </w:tr>
    </w:tbl>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4678"/>
        <w:gridCol w:w="3827"/>
        <w:gridCol w:w="6521"/>
      </w:tblGrid>
      <w:tr w:rsidR="004D14D9" w:rsidRPr="004D14D9" w14:paraId="326EDE31" w14:textId="77777777" w:rsidTr="004D14D9">
        <w:trPr>
          <w:tblHeader/>
        </w:trPr>
        <w:tc>
          <w:tcPr>
            <w:tcW w:w="568" w:type="dxa"/>
            <w:shd w:val="clear" w:color="auto" w:fill="auto"/>
            <w:vAlign w:val="center"/>
          </w:tcPr>
          <w:p w14:paraId="7A9EFAB9" w14:textId="77777777" w:rsidR="004D14D9" w:rsidRPr="004D14D9" w:rsidRDefault="004D14D9" w:rsidP="001969B4">
            <w:pPr>
              <w:spacing w:after="0" w:line="240" w:lineRule="auto"/>
              <w:jc w:val="center"/>
              <w:rPr>
                <w:rFonts w:ascii="Times New Roman" w:hAnsi="Times New Roman"/>
                <w:b/>
                <w:sz w:val="20"/>
                <w:szCs w:val="20"/>
              </w:rPr>
            </w:pPr>
            <w:r w:rsidRPr="004D14D9">
              <w:rPr>
                <w:rFonts w:ascii="Times New Roman" w:hAnsi="Times New Roman"/>
                <w:b/>
                <w:sz w:val="20"/>
                <w:szCs w:val="20"/>
              </w:rPr>
              <w:t>1</w:t>
            </w:r>
          </w:p>
        </w:tc>
        <w:tc>
          <w:tcPr>
            <w:tcW w:w="4678" w:type="dxa"/>
            <w:shd w:val="clear" w:color="auto" w:fill="auto"/>
            <w:vAlign w:val="center"/>
          </w:tcPr>
          <w:p w14:paraId="40059407" w14:textId="77777777" w:rsidR="004D14D9" w:rsidRPr="004D14D9" w:rsidRDefault="004D14D9" w:rsidP="001969B4">
            <w:pPr>
              <w:spacing w:after="0" w:line="240" w:lineRule="auto"/>
              <w:jc w:val="both"/>
              <w:rPr>
                <w:rFonts w:ascii="Times New Roman" w:hAnsi="Times New Roman"/>
                <w:b/>
                <w:sz w:val="20"/>
                <w:szCs w:val="20"/>
              </w:rPr>
            </w:pPr>
            <w:r w:rsidRPr="004D14D9">
              <w:rPr>
                <w:rFonts w:ascii="Times New Roman" w:hAnsi="Times New Roman"/>
                <w:b/>
                <w:sz w:val="20"/>
                <w:szCs w:val="20"/>
              </w:rPr>
              <w:t>Art.2 alin. (3) lit. i)</w:t>
            </w:r>
          </w:p>
          <w:p w14:paraId="310C9E18" w14:textId="77777777" w:rsidR="004D14D9" w:rsidRPr="004D14D9" w:rsidRDefault="004D14D9" w:rsidP="001969B4">
            <w:pPr>
              <w:spacing w:after="0" w:line="240" w:lineRule="auto"/>
              <w:jc w:val="both"/>
              <w:rPr>
                <w:rFonts w:ascii="Times New Roman" w:hAnsi="Times New Roman"/>
                <w:b/>
                <w:sz w:val="20"/>
                <w:szCs w:val="20"/>
              </w:rPr>
            </w:pPr>
            <w:r w:rsidRPr="004D14D9">
              <w:rPr>
                <w:rFonts w:ascii="Times New Roman" w:hAnsi="Times New Roman"/>
                <w:sz w:val="20"/>
                <w:szCs w:val="20"/>
                <w:shd w:val="clear" w:color="auto" w:fill="FFFFFF"/>
              </w:rPr>
              <w:t xml:space="preserve">„i) cerere de plată - cererea depusă de către un beneficiar/lider al unui parteneriat prin care se solicită autorităţii de management virarea sumelor necesare pentru plata cheltuielilor eligibile, rambursabile, conform contractului/deciziei/ ordinului de finanţare, în baza facturilor, facturilor de avans, statelor privind plata salariilor, a statelor/centralizatoarelor pentru acordarea burselor, subvenţiilor, premiilor şi onorariilor, </w:t>
            </w:r>
            <w:r w:rsidRPr="004D14D9">
              <w:rPr>
                <w:rFonts w:ascii="Times New Roman" w:hAnsi="Times New Roman"/>
                <w:b/>
                <w:sz w:val="20"/>
                <w:szCs w:val="20"/>
                <w:shd w:val="clear" w:color="auto" w:fill="FFFFFF"/>
              </w:rPr>
              <w:t>cu excepția Programului Operațional Capital Uman, în cazul căruia cererea de plată</w:t>
            </w:r>
            <w:r w:rsidRPr="004D14D9">
              <w:rPr>
                <w:rFonts w:ascii="Times New Roman" w:hAnsi="Times New Roman"/>
                <w:sz w:val="20"/>
                <w:szCs w:val="20"/>
                <w:shd w:val="clear" w:color="auto" w:fill="FFFFFF"/>
              </w:rPr>
              <w:t xml:space="preserve"> </w:t>
            </w:r>
            <w:r w:rsidRPr="004D14D9">
              <w:rPr>
                <w:rFonts w:ascii="Times New Roman" w:hAnsi="Times New Roman"/>
                <w:b/>
                <w:sz w:val="20"/>
                <w:szCs w:val="20"/>
                <w:shd w:val="clear" w:color="auto" w:fill="FFFFFF"/>
              </w:rPr>
              <w:t>este  cererea depusă de către un beneficiar/lider al unui parteneriat prin care se solicită autorităţii de management virarea sumelor necesare pentru plata cheltuielilor eligibile, rambursabile, conform contractului/deciziei/ ordinului de finanţare, în baza facturilor, facturilor de avans, a statelor/centralizatoarelor pentru acordarea</w:t>
            </w:r>
            <w:r w:rsidRPr="004D14D9">
              <w:rPr>
                <w:rFonts w:ascii="Times New Roman" w:hAnsi="Times New Roman"/>
                <w:sz w:val="20"/>
                <w:szCs w:val="20"/>
                <w:shd w:val="clear" w:color="auto" w:fill="FFFFFF"/>
              </w:rPr>
              <w:t xml:space="preserve"> </w:t>
            </w:r>
            <w:r w:rsidRPr="004D14D9">
              <w:rPr>
                <w:rFonts w:ascii="Times New Roman" w:hAnsi="Times New Roman"/>
                <w:b/>
                <w:sz w:val="20"/>
                <w:szCs w:val="20"/>
              </w:rPr>
              <w:t>subvenţiilor care se află sub incidența schemelor de ajutor de stat/minimis</w:t>
            </w:r>
            <w:r w:rsidRPr="004D14D9">
              <w:rPr>
                <w:rFonts w:ascii="Times New Roman" w:hAnsi="Times New Roman"/>
                <w:sz w:val="20"/>
                <w:szCs w:val="20"/>
                <w:shd w:val="clear" w:color="auto" w:fill="FFFFFF"/>
              </w:rPr>
              <w:t>. ”</w:t>
            </w:r>
          </w:p>
        </w:tc>
        <w:tc>
          <w:tcPr>
            <w:tcW w:w="3827" w:type="dxa"/>
            <w:shd w:val="clear" w:color="auto" w:fill="auto"/>
            <w:vAlign w:val="center"/>
          </w:tcPr>
          <w:p w14:paraId="4C19D87C" w14:textId="77777777" w:rsidR="004D14D9" w:rsidRPr="004D14D9" w:rsidRDefault="004D14D9" w:rsidP="001969B4">
            <w:pPr>
              <w:spacing w:after="0" w:line="240" w:lineRule="auto"/>
              <w:jc w:val="both"/>
              <w:rPr>
                <w:rFonts w:ascii="Times New Roman" w:hAnsi="Times New Roman"/>
                <w:b/>
                <w:sz w:val="20"/>
                <w:szCs w:val="20"/>
              </w:rPr>
            </w:pPr>
            <w:r w:rsidRPr="004D14D9">
              <w:rPr>
                <w:rFonts w:ascii="Times New Roman" w:hAnsi="Times New Roman"/>
                <w:b/>
                <w:sz w:val="20"/>
                <w:szCs w:val="20"/>
              </w:rPr>
              <w:t>Art.2 alin. (3) lit.i)</w:t>
            </w:r>
          </w:p>
          <w:p w14:paraId="1692D7C1" w14:textId="77777777" w:rsidR="004D14D9" w:rsidRPr="004D14D9" w:rsidRDefault="004D14D9" w:rsidP="001969B4">
            <w:pPr>
              <w:spacing w:after="0" w:line="240" w:lineRule="auto"/>
              <w:jc w:val="both"/>
              <w:rPr>
                <w:rFonts w:ascii="Times New Roman" w:hAnsi="Times New Roman"/>
                <w:b/>
                <w:sz w:val="20"/>
                <w:szCs w:val="20"/>
              </w:rPr>
            </w:pPr>
            <w:r w:rsidRPr="004D14D9">
              <w:rPr>
                <w:rFonts w:ascii="Times New Roman" w:hAnsi="Times New Roman"/>
                <w:sz w:val="20"/>
                <w:szCs w:val="20"/>
                <w:shd w:val="clear" w:color="auto" w:fill="FFFFFF"/>
              </w:rPr>
              <w:t>„i) cerere de plată - cererea depusă de către un beneficiar/lider al unui parteneriat prin care se solicită autorităţii de management virarea sumelor necesare pentru plata cheltuielilor eligibile, rambursabile, conform contractului/deciziei/ ordinului de finanţare, în baza facturilor, facturilor de avans, statelor privind plata salariilor, a statelor/centralizatoarelor pentru acordarea burselor, subvenţiilor, premiilor şi onorariilor.”</w:t>
            </w:r>
          </w:p>
        </w:tc>
        <w:tc>
          <w:tcPr>
            <w:tcW w:w="6521" w:type="dxa"/>
            <w:shd w:val="clear" w:color="auto" w:fill="auto"/>
            <w:vAlign w:val="center"/>
          </w:tcPr>
          <w:p w14:paraId="1A6BBE43" w14:textId="77777777" w:rsidR="004D14D9" w:rsidRPr="004D14D9" w:rsidRDefault="004D14D9" w:rsidP="001969B4">
            <w:pPr>
              <w:spacing w:after="0" w:line="240" w:lineRule="auto"/>
              <w:jc w:val="both"/>
              <w:rPr>
                <w:rFonts w:ascii="Times New Roman" w:hAnsi="Times New Roman"/>
                <w:b/>
                <w:sz w:val="20"/>
                <w:szCs w:val="20"/>
              </w:rPr>
            </w:pPr>
            <w:r w:rsidRPr="004D14D9">
              <w:rPr>
                <w:rFonts w:ascii="Times New Roman" w:hAnsi="Times New Roman"/>
                <w:b/>
                <w:sz w:val="20"/>
                <w:szCs w:val="20"/>
              </w:rPr>
              <w:t xml:space="preserve">Parte a mecanismului alternativ de prefinanțare aferent </w:t>
            </w:r>
            <w:r w:rsidRPr="004D14D9">
              <w:rPr>
                <w:rFonts w:ascii="Times New Roman" w:hAnsi="Times New Roman"/>
                <w:b/>
                <w:sz w:val="20"/>
                <w:szCs w:val="20"/>
                <w:shd w:val="clear" w:color="auto" w:fill="FFFFFF"/>
              </w:rPr>
              <w:t>Programului Operațional Capital Uman</w:t>
            </w:r>
          </w:p>
        </w:tc>
      </w:tr>
      <w:tr w:rsidR="004D14D9" w:rsidRPr="004D14D9" w14:paraId="59DE0F7B" w14:textId="77777777" w:rsidTr="004D14D9">
        <w:trPr>
          <w:tblHeader/>
        </w:trPr>
        <w:tc>
          <w:tcPr>
            <w:tcW w:w="568" w:type="dxa"/>
            <w:shd w:val="clear" w:color="auto" w:fill="auto"/>
            <w:vAlign w:val="center"/>
          </w:tcPr>
          <w:p w14:paraId="624ECD13" w14:textId="77777777" w:rsidR="004D14D9" w:rsidRPr="004D14D9" w:rsidRDefault="004D14D9" w:rsidP="001969B4">
            <w:pPr>
              <w:spacing w:after="0" w:line="240" w:lineRule="auto"/>
              <w:jc w:val="center"/>
              <w:rPr>
                <w:rFonts w:ascii="Times New Roman" w:hAnsi="Times New Roman"/>
                <w:b/>
                <w:sz w:val="20"/>
                <w:szCs w:val="20"/>
              </w:rPr>
            </w:pPr>
            <w:r w:rsidRPr="004D14D9">
              <w:rPr>
                <w:rFonts w:ascii="Times New Roman" w:hAnsi="Times New Roman"/>
                <w:b/>
                <w:sz w:val="20"/>
                <w:szCs w:val="20"/>
              </w:rPr>
              <w:lastRenderedPageBreak/>
              <w:t>2</w:t>
            </w:r>
          </w:p>
        </w:tc>
        <w:tc>
          <w:tcPr>
            <w:tcW w:w="4678" w:type="dxa"/>
            <w:shd w:val="clear" w:color="auto" w:fill="auto"/>
            <w:vAlign w:val="center"/>
          </w:tcPr>
          <w:p w14:paraId="041E327D" w14:textId="77777777" w:rsidR="004D14D9" w:rsidRPr="004D14D9" w:rsidRDefault="004D14D9" w:rsidP="001969B4">
            <w:pPr>
              <w:spacing w:after="0" w:line="240" w:lineRule="auto"/>
              <w:jc w:val="both"/>
              <w:rPr>
                <w:rFonts w:ascii="Times New Roman" w:hAnsi="Times New Roman"/>
                <w:b/>
                <w:sz w:val="20"/>
                <w:szCs w:val="20"/>
              </w:rPr>
            </w:pPr>
            <w:r w:rsidRPr="004D14D9">
              <w:rPr>
                <w:rFonts w:ascii="Times New Roman" w:hAnsi="Times New Roman"/>
                <w:b/>
                <w:sz w:val="20"/>
                <w:szCs w:val="20"/>
              </w:rPr>
              <w:t>Art.2 alin. (3) lit. m)</w:t>
            </w:r>
          </w:p>
          <w:p w14:paraId="15839E0F" w14:textId="77777777" w:rsidR="004D14D9" w:rsidRPr="004D14D9" w:rsidRDefault="004D14D9" w:rsidP="001969B4">
            <w:pPr>
              <w:spacing w:after="0" w:line="240" w:lineRule="auto"/>
              <w:jc w:val="both"/>
              <w:rPr>
                <w:rFonts w:ascii="Times New Roman" w:hAnsi="Times New Roman"/>
                <w:b/>
                <w:sz w:val="20"/>
                <w:szCs w:val="20"/>
              </w:rPr>
            </w:pPr>
            <w:r w:rsidRPr="004D14D9">
              <w:rPr>
                <w:rFonts w:ascii="Times New Roman" w:hAnsi="Times New Roman"/>
                <w:sz w:val="20"/>
                <w:szCs w:val="20"/>
                <w:shd w:val="clear" w:color="auto" w:fill="FFFFFF"/>
              </w:rPr>
              <w:t xml:space="preserve">„m) cerere de prefinanţare - cererea depusă de către un beneficiar/lider de parteneriat prin care se solicită autorităţii de management virarea sumelor necesare pentru plata cheltuielilor necesare implementării proiectelor finanţate din fonduri europene, fără depăşirea valorii totale eligibile a contractului de finanţare, aşa cum sunt prevăzute în bugetele contractelor/ordinelor/deciziilor de finanţare </w:t>
            </w:r>
            <w:r w:rsidRPr="004D14D9">
              <w:rPr>
                <w:rFonts w:ascii="Times New Roman" w:hAnsi="Times New Roman"/>
                <w:b/>
                <w:sz w:val="20"/>
                <w:szCs w:val="20"/>
                <w:shd w:val="clear" w:color="auto" w:fill="FFFFFF"/>
              </w:rPr>
              <w:t xml:space="preserve">cu excepția Programului Operațional Capital Uman, în cazul căruia cererea de prefinanțare este </w:t>
            </w:r>
            <w:r w:rsidRPr="004D14D9">
              <w:rPr>
                <w:rFonts w:ascii="Times New Roman" w:hAnsi="Times New Roman"/>
                <w:b/>
                <w:sz w:val="20"/>
                <w:szCs w:val="20"/>
              </w:rPr>
              <w:t>cererea depusă de către un beneficiar/lider de parteneriat prin care se solicită autorităţii de management virarea sumelor rambursabile necesare pentru plata cheltuielilor salariale, cheltuielilor aferente subvenţiilor (cu excepția acelora care se afla sub incidenta schemelor de ajutor de stat/minimis), burselor, premiilor, onorariilor aferente activităţilor independente desfăşurate în conformitate cu legislaţia în vigoare şi cheltuielilor cu deplasările, aşa cum sunt prevăzute în bugetele contractelor/ordinelor/deciziilor de finanţare, pe baza statelor estimative privind plata salariilor, statelor/centralizatoarelor estimative pentru acordarea burselor, subvenţiilor, onorariilor şi premiilor sau a estimărilor de sume aferente deplasărilor interne/externe prevăzute conform contractelor/ordinelor/ deciziilor de finanţare;</w:t>
            </w:r>
            <w:r w:rsidRPr="004D14D9">
              <w:rPr>
                <w:rFonts w:ascii="Times New Roman" w:hAnsi="Times New Roman"/>
                <w:b/>
                <w:sz w:val="20"/>
                <w:szCs w:val="20"/>
                <w:shd w:val="clear" w:color="auto" w:fill="FFFFFF"/>
              </w:rPr>
              <w:t xml:space="preserve"> ”</w:t>
            </w:r>
          </w:p>
        </w:tc>
        <w:tc>
          <w:tcPr>
            <w:tcW w:w="3827" w:type="dxa"/>
            <w:shd w:val="clear" w:color="auto" w:fill="auto"/>
            <w:vAlign w:val="center"/>
          </w:tcPr>
          <w:p w14:paraId="75536536" w14:textId="77777777" w:rsidR="004D14D9" w:rsidRPr="004D14D9" w:rsidRDefault="004D14D9" w:rsidP="001969B4">
            <w:pPr>
              <w:spacing w:after="0" w:line="240" w:lineRule="auto"/>
              <w:jc w:val="both"/>
              <w:rPr>
                <w:rFonts w:ascii="Times New Roman" w:hAnsi="Times New Roman"/>
                <w:b/>
                <w:sz w:val="20"/>
                <w:szCs w:val="20"/>
              </w:rPr>
            </w:pPr>
            <w:r w:rsidRPr="004D14D9">
              <w:rPr>
                <w:rFonts w:ascii="Times New Roman" w:hAnsi="Times New Roman"/>
                <w:b/>
                <w:sz w:val="20"/>
                <w:szCs w:val="20"/>
              </w:rPr>
              <w:t>Art.2 alin. (3) lit. m)</w:t>
            </w:r>
          </w:p>
          <w:p w14:paraId="1B5EB890" w14:textId="77777777" w:rsidR="004D14D9" w:rsidRPr="004D14D9" w:rsidRDefault="004D14D9" w:rsidP="001969B4">
            <w:pPr>
              <w:spacing w:after="0" w:line="240" w:lineRule="auto"/>
              <w:jc w:val="both"/>
              <w:rPr>
                <w:rFonts w:ascii="Times New Roman" w:hAnsi="Times New Roman"/>
                <w:b/>
                <w:sz w:val="20"/>
                <w:szCs w:val="20"/>
              </w:rPr>
            </w:pPr>
            <w:r w:rsidRPr="004D14D9">
              <w:rPr>
                <w:rFonts w:ascii="Times New Roman" w:hAnsi="Times New Roman"/>
                <w:sz w:val="20"/>
                <w:szCs w:val="20"/>
                <w:shd w:val="clear" w:color="auto" w:fill="FFFFFF"/>
              </w:rPr>
              <w:t>„m) cerere de prefinanţare - cererea depusă de către un beneficiar/lider de parteneriat prin care se solicită autorităţii de management virarea sumelor necesare pentru plata cheltuielilor necesare implementării proiectelor finanţate din fonduri europene, fără depăşirea valorii totale eligibile a contractului de finanţare, aşa cum sunt prevăzute în bugetele contractelor/ordinelor/deciziilor de finanţare; ”</w:t>
            </w:r>
          </w:p>
          <w:p w14:paraId="1BDB2E2D" w14:textId="77777777" w:rsidR="004D14D9" w:rsidRPr="004D14D9" w:rsidRDefault="004D14D9" w:rsidP="001969B4">
            <w:pPr>
              <w:spacing w:after="0" w:line="240" w:lineRule="auto"/>
              <w:jc w:val="center"/>
              <w:rPr>
                <w:rFonts w:ascii="Times New Roman" w:hAnsi="Times New Roman"/>
                <w:b/>
                <w:sz w:val="20"/>
                <w:szCs w:val="20"/>
              </w:rPr>
            </w:pPr>
          </w:p>
        </w:tc>
        <w:tc>
          <w:tcPr>
            <w:tcW w:w="6521" w:type="dxa"/>
            <w:shd w:val="clear" w:color="auto" w:fill="auto"/>
            <w:vAlign w:val="center"/>
          </w:tcPr>
          <w:p w14:paraId="42874139" w14:textId="77777777" w:rsidR="004D14D9" w:rsidRPr="004D14D9" w:rsidRDefault="004D14D9" w:rsidP="001969B4">
            <w:pPr>
              <w:spacing w:after="0" w:line="240" w:lineRule="auto"/>
              <w:jc w:val="both"/>
              <w:rPr>
                <w:rFonts w:ascii="Times New Roman" w:hAnsi="Times New Roman"/>
                <w:b/>
                <w:sz w:val="20"/>
                <w:szCs w:val="20"/>
              </w:rPr>
            </w:pPr>
            <w:r w:rsidRPr="004D14D9">
              <w:rPr>
                <w:rFonts w:ascii="Times New Roman" w:hAnsi="Times New Roman"/>
                <w:b/>
                <w:sz w:val="20"/>
                <w:szCs w:val="20"/>
              </w:rPr>
              <w:t xml:space="preserve">Parte a mecanismului alternativ de prefinanțare aferent </w:t>
            </w:r>
            <w:r w:rsidRPr="004D14D9">
              <w:rPr>
                <w:rFonts w:ascii="Times New Roman" w:hAnsi="Times New Roman"/>
                <w:b/>
                <w:sz w:val="20"/>
                <w:szCs w:val="20"/>
                <w:shd w:val="clear" w:color="auto" w:fill="FFFFFF"/>
              </w:rPr>
              <w:t>Programului Operațional Capital Uman</w:t>
            </w:r>
          </w:p>
        </w:tc>
      </w:tr>
      <w:tr w:rsidR="004D14D9" w:rsidRPr="004D14D9" w14:paraId="1E928BA6" w14:textId="77777777" w:rsidTr="004D14D9">
        <w:trPr>
          <w:tblHeader/>
        </w:trPr>
        <w:tc>
          <w:tcPr>
            <w:tcW w:w="568" w:type="dxa"/>
            <w:shd w:val="clear" w:color="auto" w:fill="auto"/>
            <w:vAlign w:val="center"/>
          </w:tcPr>
          <w:p w14:paraId="3704D17A" w14:textId="77777777" w:rsidR="004D14D9" w:rsidRPr="004D14D9" w:rsidRDefault="004D14D9" w:rsidP="001969B4">
            <w:pPr>
              <w:spacing w:after="0" w:line="240" w:lineRule="auto"/>
              <w:jc w:val="center"/>
              <w:rPr>
                <w:rFonts w:ascii="Times New Roman" w:hAnsi="Times New Roman"/>
                <w:b/>
                <w:sz w:val="20"/>
                <w:szCs w:val="20"/>
              </w:rPr>
            </w:pPr>
            <w:r w:rsidRPr="004D14D9">
              <w:rPr>
                <w:rFonts w:ascii="Times New Roman" w:hAnsi="Times New Roman"/>
                <w:b/>
                <w:sz w:val="20"/>
                <w:szCs w:val="20"/>
              </w:rPr>
              <w:t>3</w:t>
            </w:r>
          </w:p>
        </w:tc>
        <w:tc>
          <w:tcPr>
            <w:tcW w:w="4678" w:type="dxa"/>
            <w:shd w:val="clear" w:color="auto" w:fill="auto"/>
            <w:vAlign w:val="center"/>
          </w:tcPr>
          <w:p w14:paraId="4EE50F75" w14:textId="77777777" w:rsidR="004D14D9" w:rsidRPr="004D14D9" w:rsidRDefault="004D14D9" w:rsidP="001969B4">
            <w:pPr>
              <w:spacing w:after="0" w:line="240" w:lineRule="auto"/>
              <w:jc w:val="both"/>
              <w:rPr>
                <w:rFonts w:ascii="Times New Roman" w:hAnsi="Times New Roman"/>
                <w:b/>
                <w:sz w:val="20"/>
                <w:szCs w:val="20"/>
              </w:rPr>
            </w:pPr>
            <w:r w:rsidRPr="004D14D9">
              <w:rPr>
                <w:rFonts w:ascii="Times New Roman" w:hAnsi="Times New Roman"/>
                <w:b/>
                <w:sz w:val="20"/>
                <w:szCs w:val="20"/>
              </w:rPr>
              <w:t>Art.2 alin. (3) lit. r)</w:t>
            </w:r>
          </w:p>
          <w:p w14:paraId="448EE90D" w14:textId="77777777" w:rsidR="004D14D9" w:rsidRPr="004D14D9" w:rsidRDefault="004D14D9" w:rsidP="001969B4">
            <w:pPr>
              <w:spacing w:after="0" w:line="240" w:lineRule="auto"/>
              <w:jc w:val="both"/>
              <w:rPr>
                <w:rFonts w:ascii="Times New Roman" w:hAnsi="Times New Roman"/>
                <w:b/>
                <w:sz w:val="20"/>
                <w:szCs w:val="20"/>
              </w:rPr>
            </w:pPr>
            <w:r w:rsidRPr="004D14D9">
              <w:rPr>
                <w:rFonts w:ascii="Times New Roman" w:hAnsi="Times New Roman"/>
                <w:bCs/>
                <w:sz w:val="20"/>
                <w:szCs w:val="20"/>
              </w:rPr>
              <w:t xml:space="preserve">” decizia de reziliere a contractului de finanțare </w:t>
            </w:r>
            <w:r w:rsidRPr="004D14D9">
              <w:rPr>
                <w:rFonts w:ascii="Times New Roman" w:hAnsi="Times New Roman"/>
                <w:sz w:val="20"/>
                <w:szCs w:val="20"/>
                <w:shd w:val="clear" w:color="auto" w:fill="FFFFFF"/>
              </w:rPr>
              <w:t xml:space="preserve">- </w:t>
            </w:r>
            <w:r w:rsidRPr="004D14D9">
              <w:rPr>
                <w:rFonts w:ascii="Times New Roman" w:hAnsi="Times New Roman"/>
                <w:bCs/>
                <w:sz w:val="20"/>
                <w:szCs w:val="20"/>
              </w:rPr>
              <w:t>actul administrativ emis de autoritatea de management/organismului intermediar prin care sunt individualizate sumele ce trebuie restituite de către beneficiar ca urmare a rezilierii contractului de finanțare.”</w:t>
            </w:r>
          </w:p>
        </w:tc>
        <w:tc>
          <w:tcPr>
            <w:tcW w:w="3827" w:type="dxa"/>
            <w:shd w:val="clear" w:color="auto" w:fill="auto"/>
            <w:vAlign w:val="center"/>
          </w:tcPr>
          <w:p w14:paraId="398F60A1" w14:textId="77777777" w:rsidR="004D14D9" w:rsidRPr="004D14D9" w:rsidRDefault="004D14D9" w:rsidP="001969B4">
            <w:pPr>
              <w:spacing w:after="0" w:line="240" w:lineRule="auto"/>
              <w:jc w:val="center"/>
              <w:rPr>
                <w:rFonts w:ascii="Times New Roman" w:hAnsi="Times New Roman"/>
                <w:b/>
                <w:sz w:val="20"/>
                <w:szCs w:val="20"/>
              </w:rPr>
            </w:pPr>
            <w:r w:rsidRPr="004D14D9">
              <w:rPr>
                <w:rFonts w:ascii="Times New Roman" w:hAnsi="Times New Roman"/>
                <w:b/>
                <w:sz w:val="20"/>
                <w:szCs w:val="20"/>
              </w:rPr>
              <w:t>-</w:t>
            </w:r>
          </w:p>
        </w:tc>
        <w:tc>
          <w:tcPr>
            <w:tcW w:w="6521" w:type="dxa"/>
            <w:shd w:val="clear" w:color="auto" w:fill="auto"/>
            <w:vAlign w:val="center"/>
          </w:tcPr>
          <w:p w14:paraId="4C7AD036" w14:textId="6B6E8331" w:rsidR="004D14D9" w:rsidRPr="004D14D9" w:rsidRDefault="007A6415" w:rsidP="001969B4">
            <w:pPr>
              <w:spacing w:after="0" w:line="240" w:lineRule="auto"/>
              <w:jc w:val="both"/>
              <w:rPr>
                <w:rFonts w:ascii="Times New Roman" w:hAnsi="Times New Roman"/>
                <w:b/>
                <w:sz w:val="20"/>
                <w:szCs w:val="20"/>
              </w:rPr>
            </w:pPr>
            <w:r>
              <w:rPr>
                <w:rFonts w:ascii="Times New Roman" w:hAnsi="Times New Roman"/>
                <w:b/>
                <w:sz w:val="20"/>
                <w:szCs w:val="20"/>
              </w:rPr>
              <w:t>Definiția este necesară pentru propunerea de la</w:t>
            </w:r>
            <w:bookmarkStart w:id="4" w:name="_GoBack"/>
            <w:bookmarkEnd w:id="4"/>
            <w:r w:rsidR="00CA032A">
              <w:rPr>
                <w:rFonts w:ascii="Times New Roman" w:hAnsi="Times New Roman"/>
                <w:b/>
                <w:sz w:val="20"/>
                <w:szCs w:val="20"/>
              </w:rPr>
              <w:t xml:space="preserve"> pct. 17</w:t>
            </w:r>
          </w:p>
        </w:tc>
      </w:tr>
      <w:tr w:rsidR="004D14D9" w:rsidRPr="004D14D9" w14:paraId="73A8EC1D" w14:textId="77777777" w:rsidTr="004D14D9">
        <w:trPr>
          <w:tblHeader/>
        </w:trPr>
        <w:tc>
          <w:tcPr>
            <w:tcW w:w="568" w:type="dxa"/>
            <w:shd w:val="clear" w:color="auto" w:fill="auto"/>
            <w:vAlign w:val="center"/>
          </w:tcPr>
          <w:p w14:paraId="77042596" w14:textId="77777777" w:rsidR="004D14D9" w:rsidRPr="004D14D9" w:rsidRDefault="004D14D9" w:rsidP="001969B4">
            <w:pPr>
              <w:spacing w:after="0" w:line="240" w:lineRule="auto"/>
              <w:jc w:val="center"/>
              <w:rPr>
                <w:rFonts w:ascii="Times New Roman" w:hAnsi="Times New Roman"/>
                <w:b/>
                <w:sz w:val="20"/>
                <w:szCs w:val="20"/>
              </w:rPr>
            </w:pPr>
            <w:r w:rsidRPr="004D14D9">
              <w:rPr>
                <w:rFonts w:ascii="Times New Roman" w:hAnsi="Times New Roman"/>
                <w:b/>
                <w:sz w:val="20"/>
                <w:szCs w:val="20"/>
              </w:rPr>
              <w:lastRenderedPageBreak/>
              <w:t>4</w:t>
            </w:r>
          </w:p>
        </w:tc>
        <w:tc>
          <w:tcPr>
            <w:tcW w:w="4678" w:type="dxa"/>
            <w:shd w:val="clear" w:color="auto" w:fill="auto"/>
            <w:vAlign w:val="center"/>
          </w:tcPr>
          <w:p w14:paraId="7522D3DD" w14:textId="77777777" w:rsidR="004D14D9" w:rsidRPr="004D14D9" w:rsidRDefault="004D14D9" w:rsidP="001969B4">
            <w:pPr>
              <w:spacing w:after="0" w:line="240" w:lineRule="auto"/>
              <w:jc w:val="both"/>
              <w:rPr>
                <w:rFonts w:ascii="Times New Roman" w:hAnsi="Times New Roman"/>
                <w:b/>
                <w:sz w:val="20"/>
                <w:szCs w:val="20"/>
              </w:rPr>
            </w:pPr>
            <w:r w:rsidRPr="004D14D9">
              <w:rPr>
                <w:rFonts w:ascii="Times New Roman" w:hAnsi="Times New Roman"/>
                <w:b/>
                <w:sz w:val="20"/>
                <w:szCs w:val="20"/>
              </w:rPr>
              <w:t>Art. 6 alin. (2)</w:t>
            </w:r>
          </w:p>
          <w:p w14:paraId="5426C689" w14:textId="77777777" w:rsidR="004D14D9" w:rsidRPr="004D14D9" w:rsidRDefault="004D14D9" w:rsidP="001969B4">
            <w:pPr>
              <w:autoSpaceDE w:val="0"/>
              <w:autoSpaceDN w:val="0"/>
              <w:adjustRightInd w:val="0"/>
              <w:spacing w:after="0" w:line="240" w:lineRule="auto"/>
              <w:jc w:val="both"/>
              <w:rPr>
                <w:rFonts w:ascii="Times New Roman" w:hAnsi="Times New Roman"/>
                <w:b/>
                <w:sz w:val="20"/>
                <w:szCs w:val="20"/>
              </w:rPr>
            </w:pPr>
            <w:r w:rsidRPr="004D14D9">
              <w:rPr>
                <w:rFonts w:ascii="Times New Roman" w:hAnsi="Times New Roman"/>
                <w:bCs/>
                <w:sz w:val="20"/>
                <w:szCs w:val="20"/>
              </w:rPr>
              <w:t xml:space="preserve">”(2) În bugetul </w:t>
            </w:r>
            <w:r w:rsidRPr="004D14D9">
              <w:rPr>
                <w:rFonts w:ascii="Times New Roman" w:hAnsi="Times New Roman"/>
                <w:b/>
                <w:bCs/>
                <w:sz w:val="20"/>
                <w:szCs w:val="20"/>
              </w:rPr>
              <w:t>Ministerului Transporturilor,</w:t>
            </w:r>
            <w:r w:rsidRPr="004D14D9">
              <w:rPr>
                <w:rFonts w:ascii="Times New Roman" w:hAnsi="Times New Roman"/>
                <w:b/>
                <w:sz w:val="20"/>
                <w:szCs w:val="20"/>
                <w:shd w:val="clear" w:color="auto" w:fill="FFFFFF"/>
              </w:rPr>
              <w:t xml:space="preserve"> </w:t>
            </w:r>
            <w:r w:rsidRPr="004D14D9">
              <w:rPr>
                <w:rFonts w:ascii="Times New Roman" w:hAnsi="Times New Roman"/>
                <w:b/>
                <w:sz w:val="20"/>
                <w:szCs w:val="20"/>
              </w:rPr>
              <w:t>Infrastructurii şi Comunicaţiilor</w:t>
            </w:r>
            <w:r w:rsidRPr="004D14D9">
              <w:rPr>
                <w:rFonts w:ascii="Times New Roman" w:hAnsi="Times New Roman"/>
                <w:bCs/>
                <w:sz w:val="20"/>
                <w:szCs w:val="20"/>
              </w:rPr>
              <w:t xml:space="preserve"> se cuprind, cu respectarea prevederilor </w:t>
            </w:r>
            <w:hyperlink r:id="rId9" w:history="1">
              <w:r w:rsidRPr="004D14D9">
                <w:rPr>
                  <w:rFonts w:ascii="Times New Roman" w:hAnsi="Times New Roman"/>
                  <w:bCs/>
                  <w:sz w:val="20"/>
                  <w:szCs w:val="20"/>
                </w:rPr>
                <w:t>art. 11</w:t>
              </w:r>
            </w:hyperlink>
            <w:r w:rsidRPr="004D14D9">
              <w:rPr>
                <w:rFonts w:ascii="Times New Roman" w:hAnsi="Times New Roman"/>
                <w:bCs/>
                <w:sz w:val="20"/>
                <w:szCs w:val="20"/>
              </w:rPr>
              <w:t xml:space="preserve"> și a prevederilor legislației naționale și a legislației Uniunii Europene privind ajutorul de stat, creditele de angajament și creditele bugetare aferente valorii totale a proiectelor din domeniul transporturilor, ai căror beneficiari identificați în ghidurile solicitantului sunt unitățile care funcționează sub autoritatea sau în coordonarea Ministerului Transporturilor, </w:t>
            </w:r>
            <w:r w:rsidRPr="004D14D9">
              <w:rPr>
                <w:rFonts w:ascii="Times New Roman" w:hAnsi="Times New Roman"/>
                <w:b/>
                <w:sz w:val="20"/>
                <w:szCs w:val="20"/>
                <w:shd w:val="clear" w:color="auto" w:fill="FFFFFF"/>
              </w:rPr>
              <w:t>Infrastructurii şi Comunicaţiilor</w:t>
            </w:r>
            <w:r w:rsidRPr="004D14D9">
              <w:rPr>
                <w:rFonts w:ascii="Times New Roman" w:hAnsi="Times New Roman"/>
                <w:bCs/>
                <w:sz w:val="20"/>
                <w:szCs w:val="20"/>
              </w:rPr>
              <w:t>.”</w:t>
            </w:r>
          </w:p>
        </w:tc>
        <w:tc>
          <w:tcPr>
            <w:tcW w:w="3827" w:type="dxa"/>
            <w:shd w:val="clear" w:color="auto" w:fill="auto"/>
            <w:vAlign w:val="center"/>
          </w:tcPr>
          <w:p w14:paraId="6E9B5C58" w14:textId="77777777" w:rsidR="004D14D9" w:rsidRPr="004D14D9" w:rsidRDefault="004D14D9" w:rsidP="001969B4">
            <w:pPr>
              <w:spacing w:after="0" w:line="240" w:lineRule="auto"/>
              <w:jc w:val="both"/>
              <w:rPr>
                <w:rFonts w:ascii="Times New Roman" w:hAnsi="Times New Roman"/>
                <w:b/>
                <w:sz w:val="20"/>
                <w:szCs w:val="20"/>
              </w:rPr>
            </w:pPr>
            <w:r w:rsidRPr="004D14D9">
              <w:rPr>
                <w:rFonts w:ascii="Times New Roman" w:hAnsi="Times New Roman"/>
                <w:b/>
                <w:sz w:val="20"/>
                <w:szCs w:val="20"/>
              </w:rPr>
              <w:t>Art. 6 alin. (2)</w:t>
            </w:r>
          </w:p>
          <w:p w14:paraId="59328F5B" w14:textId="77777777" w:rsidR="004D14D9" w:rsidRPr="004D14D9" w:rsidRDefault="004D14D9" w:rsidP="001969B4">
            <w:pPr>
              <w:spacing w:after="0" w:line="240" w:lineRule="auto"/>
              <w:jc w:val="both"/>
              <w:rPr>
                <w:rFonts w:ascii="Times New Roman" w:hAnsi="Times New Roman"/>
                <w:b/>
                <w:sz w:val="20"/>
                <w:szCs w:val="20"/>
              </w:rPr>
            </w:pPr>
            <w:r w:rsidRPr="004D14D9">
              <w:rPr>
                <w:rFonts w:ascii="Times New Roman" w:hAnsi="Times New Roman"/>
                <w:bCs/>
                <w:sz w:val="20"/>
                <w:szCs w:val="20"/>
              </w:rPr>
              <w:t>”</w:t>
            </w:r>
            <w:r w:rsidRPr="004D14D9">
              <w:rPr>
                <w:rFonts w:ascii="Times New Roman" w:hAnsi="Times New Roman"/>
                <w:sz w:val="20"/>
                <w:szCs w:val="20"/>
                <w:shd w:val="clear" w:color="auto" w:fill="FFFFFF"/>
              </w:rPr>
              <w:t xml:space="preserve">(2) În bugetul Ministerului Transporturilor, Infrastructurii şi Comunicaţiilor se cuprind, cu respectarea prevederilor art. 11 şi a prevederilor legislaţiei naţionale şi a legislaţiei Uniunii Europene privind ajutorul de stat, creditele de angajament şi creditele bugetare aferente valorii totale a proiectelor </w:t>
            </w:r>
            <w:r w:rsidRPr="004D14D9">
              <w:rPr>
                <w:rFonts w:ascii="Times New Roman" w:hAnsi="Times New Roman"/>
                <w:b/>
                <w:sz w:val="20"/>
                <w:szCs w:val="20"/>
                <w:shd w:val="clear" w:color="auto" w:fill="FFFFFF"/>
              </w:rPr>
              <w:t>de investiţii</w:t>
            </w:r>
            <w:r w:rsidRPr="004D14D9">
              <w:rPr>
                <w:rFonts w:ascii="Times New Roman" w:hAnsi="Times New Roman"/>
                <w:sz w:val="20"/>
                <w:szCs w:val="20"/>
                <w:shd w:val="clear" w:color="auto" w:fill="FFFFFF"/>
              </w:rPr>
              <w:t xml:space="preserve"> </w:t>
            </w:r>
            <w:r w:rsidRPr="004D14D9">
              <w:rPr>
                <w:rFonts w:ascii="Times New Roman" w:hAnsi="Times New Roman"/>
                <w:b/>
                <w:sz w:val="20"/>
                <w:szCs w:val="20"/>
                <w:shd w:val="clear" w:color="auto" w:fill="FFFFFF"/>
              </w:rPr>
              <w:t>de infrastructură de</w:t>
            </w:r>
            <w:r w:rsidRPr="004D14D9">
              <w:rPr>
                <w:rFonts w:ascii="Times New Roman" w:hAnsi="Times New Roman"/>
                <w:sz w:val="20"/>
                <w:szCs w:val="20"/>
                <w:shd w:val="clear" w:color="auto" w:fill="FFFFFF"/>
              </w:rPr>
              <w:t xml:space="preserve"> transport, ai căror beneficiari identificaţi în ghidurile solicitantului sunt unităţile care funcţionează sub autoritatea sau în coordonarea </w:t>
            </w:r>
            <w:r w:rsidRPr="004D14D9">
              <w:rPr>
                <w:rFonts w:ascii="Times New Roman" w:hAnsi="Times New Roman"/>
                <w:b/>
                <w:sz w:val="20"/>
                <w:szCs w:val="20"/>
                <w:shd w:val="clear" w:color="auto" w:fill="FFFFFF"/>
              </w:rPr>
              <w:t>Ministerului Transporturilor, Infrastructurii şi Comunicaţiilor</w:t>
            </w:r>
            <w:r w:rsidRPr="004D14D9">
              <w:rPr>
                <w:rFonts w:ascii="Times New Roman" w:hAnsi="Times New Roman"/>
                <w:sz w:val="20"/>
                <w:szCs w:val="20"/>
                <w:shd w:val="clear" w:color="auto" w:fill="FFFFFF"/>
              </w:rPr>
              <w:t>.</w:t>
            </w:r>
            <w:r w:rsidRPr="004D14D9">
              <w:rPr>
                <w:rFonts w:ascii="Times New Roman" w:hAnsi="Times New Roman"/>
                <w:bCs/>
                <w:sz w:val="20"/>
                <w:szCs w:val="20"/>
              </w:rPr>
              <w:t>”</w:t>
            </w:r>
          </w:p>
        </w:tc>
        <w:tc>
          <w:tcPr>
            <w:tcW w:w="6521" w:type="dxa"/>
            <w:shd w:val="clear" w:color="auto" w:fill="auto"/>
            <w:vAlign w:val="center"/>
          </w:tcPr>
          <w:p w14:paraId="03B28BC6" w14:textId="77777777" w:rsidR="004D14D9" w:rsidRPr="004D14D9" w:rsidRDefault="004D14D9" w:rsidP="001969B4">
            <w:pPr>
              <w:pStyle w:val="ListParagraph"/>
              <w:spacing w:before="120" w:after="120" w:line="240" w:lineRule="auto"/>
              <w:ind w:left="68"/>
              <w:jc w:val="both"/>
              <w:rPr>
                <w:rFonts w:ascii="Times New Roman" w:hAnsi="Times New Roman"/>
                <w:b/>
                <w:sz w:val="20"/>
                <w:szCs w:val="20"/>
              </w:rPr>
            </w:pPr>
            <w:r w:rsidRPr="004D14D9">
              <w:rPr>
                <w:rFonts w:ascii="Times New Roman" w:hAnsi="Times New Roman"/>
                <w:sz w:val="20"/>
                <w:szCs w:val="20"/>
              </w:rPr>
              <w:t>Este necesară înlocuirea sintagmei ”proiectele de investiții de infrastructură de transport” cu sintagma ”proiecte din domeniul transporturilor”  deoarece nu toate proiectele finanțate în cadrul POIM sunt infrastructură de transport (ex. achiziția de remorchere).</w:t>
            </w:r>
          </w:p>
        </w:tc>
      </w:tr>
      <w:tr w:rsidR="009D7FD2" w:rsidRPr="009D7FD2" w14:paraId="400D2383" w14:textId="77777777" w:rsidTr="004D14D9">
        <w:trPr>
          <w:trHeight w:val="849"/>
        </w:trPr>
        <w:tc>
          <w:tcPr>
            <w:tcW w:w="568" w:type="dxa"/>
            <w:vAlign w:val="center"/>
          </w:tcPr>
          <w:p w14:paraId="327715CA" w14:textId="77777777" w:rsidR="004D14D9" w:rsidRPr="009D7FD2" w:rsidRDefault="004D14D9" w:rsidP="001969B4">
            <w:pPr>
              <w:spacing w:after="0" w:line="240" w:lineRule="auto"/>
              <w:jc w:val="center"/>
              <w:rPr>
                <w:rFonts w:ascii="Times New Roman" w:hAnsi="Times New Roman"/>
                <w:b/>
                <w:sz w:val="20"/>
                <w:szCs w:val="20"/>
              </w:rPr>
            </w:pPr>
            <w:r w:rsidRPr="009D7FD2">
              <w:rPr>
                <w:rFonts w:ascii="Times New Roman" w:hAnsi="Times New Roman"/>
                <w:b/>
                <w:sz w:val="20"/>
                <w:szCs w:val="20"/>
              </w:rPr>
              <w:t>5</w:t>
            </w:r>
          </w:p>
        </w:tc>
        <w:tc>
          <w:tcPr>
            <w:tcW w:w="4678" w:type="dxa"/>
          </w:tcPr>
          <w:p w14:paraId="1D8BA699" w14:textId="77777777" w:rsidR="004D14D9" w:rsidRPr="009D7FD2" w:rsidRDefault="004D14D9" w:rsidP="001969B4">
            <w:pPr>
              <w:spacing w:after="0" w:line="240" w:lineRule="auto"/>
              <w:jc w:val="both"/>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t>Art. 9 lit. d</w:t>
            </w:r>
            <w:r w:rsidRPr="009D7FD2">
              <w:rPr>
                <w:rFonts w:ascii="Times New Roman" w:hAnsi="Times New Roman"/>
                <w:b/>
                <w:sz w:val="20"/>
                <w:szCs w:val="20"/>
                <w:shd w:val="clear" w:color="auto" w:fill="FFFFFF"/>
                <w:vertAlign w:val="superscript"/>
              </w:rPr>
              <w:t>1</w:t>
            </w:r>
            <w:r w:rsidRPr="009D7FD2">
              <w:rPr>
                <w:rFonts w:ascii="Times New Roman" w:hAnsi="Times New Roman"/>
                <w:b/>
                <w:sz w:val="20"/>
                <w:szCs w:val="20"/>
                <w:shd w:val="clear" w:color="auto" w:fill="FFFFFF"/>
              </w:rPr>
              <w:t>)</w:t>
            </w:r>
          </w:p>
          <w:p w14:paraId="1183089D" w14:textId="74D720AE" w:rsidR="004D14D9" w:rsidRPr="009D7FD2" w:rsidRDefault="004D14D9" w:rsidP="001969B4">
            <w:pPr>
              <w:tabs>
                <w:tab w:val="left" w:pos="0"/>
              </w:tabs>
              <w:spacing w:after="0" w:line="240" w:lineRule="auto"/>
              <w:jc w:val="both"/>
              <w:rPr>
                <w:rFonts w:ascii="Times New Roman" w:hAnsi="Times New Roman"/>
                <w:sz w:val="20"/>
                <w:szCs w:val="20"/>
                <w:shd w:val="clear" w:color="auto" w:fill="FFFFFF"/>
              </w:rPr>
            </w:pPr>
            <w:r w:rsidRPr="009D7FD2">
              <w:rPr>
                <w:rFonts w:ascii="Times New Roman" w:hAnsi="Times New Roman"/>
                <w:sz w:val="20"/>
                <w:szCs w:val="20"/>
                <w:shd w:val="clear" w:color="auto" w:fill="FFFFFF"/>
              </w:rPr>
              <w:t>“d</w:t>
            </w:r>
            <w:r w:rsidRPr="009D7FD2">
              <w:rPr>
                <w:rFonts w:ascii="Times New Roman" w:hAnsi="Times New Roman"/>
                <w:sz w:val="20"/>
                <w:szCs w:val="20"/>
                <w:shd w:val="clear" w:color="auto" w:fill="FFFFFF"/>
                <w:vertAlign w:val="superscript"/>
              </w:rPr>
              <w:t>1</w:t>
            </w:r>
            <w:r w:rsidRPr="009D7FD2">
              <w:rPr>
                <w:rFonts w:ascii="Times New Roman" w:hAnsi="Times New Roman"/>
                <w:sz w:val="20"/>
                <w:szCs w:val="20"/>
                <w:shd w:val="clear" w:color="auto" w:fill="FFFFFF"/>
              </w:rPr>
              <w:t>) sumele necesare pentru finanţarea cheltuielilor aferente contractelor/deciziilor/ordinelor de finanţare încheiate potrivit prevederilor art. 12</w:t>
            </w:r>
            <w:r w:rsidR="008B2FC8" w:rsidRPr="009D7FD2">
              <w:rPr>
                <w:rFonts w:ascii="Times New Roman" w:hAnsi="Times New Roman"/>
                <w:sz w:val="20"/>
                <w:szCs w:val="20"/>
                <w:shd w:val="clear" w:color="auto" w:fill="FFFFFF"/>
              </w:rPr>
              <w:t xml:space="preserve"> alin. (1</w:t>
            </w:r>
            <w:r w:rsidR="008B2FC8" w:rsidRPr="009D7FD2">
              <w:rPr>
                <w:rFonts w:ascii="Times New Roman" w:hAnsi="Times New Roman"/>
                <w:sz w:val="20"/>
                <w:szCs w:val="20"/>
                <w:shd w:val="clear" w:color="auto" w:fill="FFFFFF"/>
                <w:vertAlign w:val="superscript"/>
              </w:rPr>
              <w:t>2</w:t>
            </w:r>
            <w:r w:rsidR="008B2FC8" w:rsidRPr="009D7FD2">
              <w:rPr>
                <w:rFonts w:ascii="Times New Roman" w:hAnsi="Times New Roman"/>
                <w:sz w:val="20"/>
                <w:szCs w:val="20"/>
                <w:shd w:val="clear" w:color="auto" w:fill="FFFFFF"/>
              </w:rPr>
              <w:t>),</w:t>
            </w:r>
            <w:r w:rsidRPr="009D7FD2">
              <w:rPr>
                <w:rFonts w:ascii="Times New Roman" w:hAnsi="Times New Roman"/>
                <w:sz w:val="20"/>
                <w:szCs w:val="20"/>
                <w:shd w:val="clear" w:color="auto" w:fill="FFFFFF"/>
              </w:rPr>
              <w:t xml:space="preserve"> ca urmare a depăşirii sumelor alocate în euro la nivel de program, pentru proiectele care nu sunt finalizate și se încadrează în condițiile de eligibilitate prevăzute pentru exercițiul financiar 2021-2027;”</w:t>
            </w:r>
          </w:p>
          <w:p w14:paraId="6AEE1805" w14:textId="77777777" w:rsidR="004D14D9" w:rsidRPr="009D7FD2" w:rsidRDefault="004D14D9" w:rsidP="001969B4">
            <w:pPr>
              <w:pStyle w:val="NormalWeb"/>
              <w:jc w:val="both"/>
              <w:rPr>
                <w:b/>
                <w:sz w:val="20"/>
                <w:szCs w:val="20"/>
              </w:rPr>
            </w:pPr>
          </w:p>
        </w:tc>
        <w:tc>
          <w:tcPr>
            <w:tcW w:w="3827" w:type="dxa"/>
            <w:vAlign w:val="center"/>
          </w:tcPr>
          <w:p w14:paraId="4B1C5F5E" w14:textId="77777777" w:rsidR="004D14D9" w:rsidRPr="009D7FD2" w:rsidRDefault="004D14D9" w:rsidP="001969B4">
            <w:pPr>
              <w:spacing w:after="0" w:line="240" w:lineRule="auto"/>
              <w:jc w:val="center"/>
              <w:rPr>
                <w:rFonts w:ascii="Times New Roman" w:hAnsi="Times New Roman"/>
                <w:b/>
                <w:sz w:val="20"/>
                <w:szCs w:val="20"/>
              </w:rPr>
            </w:pPr>
            <w:r w:rsidRPr="009D7FD2">
              <w:rPr>
                <w:rFonts w:ascii="Times New Roman" w:hAnsi="Times New Roman"/>
                <w:b/>
                <w:sz w:val="20"/>
                <w:szCs w:val="20"/>
              </w:rPr>
              <w:t>-</w:t>
            </w:r>
          </w:p>
        </w:tc>
        <w:tc>
          <w:tcPr>
            <w:tcW w:w="6521" w:type="dxa"/>
            <w:vAlign w:val="center"/>
          </w:tcPr>
          <w:p w14:paraId="1A837430" w14:textId="77777777" w:rsidR="004D14D9" w:rsidRPr="009D7FD2" w:rsidRDefault="004D14D9" w:rsidP="001969B4">
            <w:pPr>
              <w:spacing w:after="0" w:line="240" w:lineRule="auto"/>
              <w:jc w:val="both"/>
              <w:rPr>
                <w:rFonts w:ascii="Times New Roman" w:hAnsi="Times New Roman"/>
                <w:sz w:val="20"/>
                <w:szCs w:val="20"/>
              </w:rPr>
            </w:pPr>
            <w:r w:rsidRPr="009D7FD2">
              <w:rPr>
                <w:rFonts w:ascii="Times New Roman" w:hAnsi="Times New Roman"/>
                <w:sz w:val="20"/>
                <w:szCs w:val="20"/>
              </w:rPr>
              <w:t>Modificarea este necesară pentru a permite onorarea angajamentelor financiare asumate prin semnarea de contracte/decizii de finanțare peste limitele alocate la nivel de program pentru proiectele care nu sunt finalizate și se încadrează în condițiile de eligibilitate prevăzute pentru exercițiul financiar 2021-2027.</w:t>
            </w:r>
          </w:p>
        </w:tc>
      </w:tr>
      <w:tr w:rsidR="009D7FD2" w:rsidRPr="009D7FD2" w14:paraId="17212BB5" w14:textId="77777777" w:rsidTr="004D14D9">
        <w:trPr>
          <w:trHeight w:val="849"/>
        </w:trPr>
        <w:tc>
          <w:tcPr>
            <w:tcW w:w="568" w:type="dxa"/>
            <w:vAlign w:val="center"/>
          </w:tcPr>
          <w:p w14:paraId="53183CC5" w14:textId="77777777" w:rsidR="004D14D9" w:rsidRPr="009D7FD2" w:rsidRDefault="004D14D9" w:rsidP="001969B4">
            <w:pPr>
              <w:spacing w:after="0" w:line="240" w:lineRule="auto"/>
              <w:jc w:val="center"/>
              <w:rPr>
                <w:rFonts w:ascii="Times New Roman" w:hAnsi="Times New Roman"/>
                <w:b/>
                <w:sz w:val="20"/>
                <w:szCs w:val="20"/>
              </w:rPr>
            </w:pPr>
            <w:r w:rsidRPr="009D7FD2">
              <w:rPr>
                <w:rFonts w:ascii="Times New Roman" w:hAnsi="Times New Roman"/>
                <w:b/>
                <w:sz w:val="20"/>
                <w:szCs w:val="20"/>
              </w:rPr>
              <w:t>6</w:t>
            </w:r>
          </w:p>
        </w:tc>
        <w:tc>
          <w:tcPr>
            <w:tcW w:w="4678" w:type="dxa"/>
          </w:tcPr>
          <w:p w14:paraId="63E025C9" w14:textId="77777777" w:rsidR="004D14D9" w:rsidRPr="009D7FD2" w:rsidRDefault="004D14D9" w:rsidP="001969B4">
            <w:pPr>
              <w:spacing w:after="0" w:line="240" w:lineRule="auto"/>
              <w:jc w:val="both"/>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t>Art. 9 lit. k)</w:t>
            </w:r>
          </w:p>
          <w:p w14:paraId="29167027" w14:textId="77777777" w:rsidR="004D14D9" w:rsidRPr="009D7FD2" w:rsidRDefault="004D14D9" w:rsidP="001969B4">
            <w:pPr>
              <w:spacing w:after="0" w:line="240" w:lineRule="auto"/>
              <w:jc w:val="both"/>
              <w:rPr>
                <w:rFonts w:ascii="Times New Roman" w:hAnsi="Times New Roman"/>
                <w:b/>
                <w:sz w:val="20"/>
                <w:szCs w:val="20"/>
                <w:shd w:val="clear" w:color="auto" w:fill="FFFFFF"/>
              </w:rPr>
            </w:pPr>
            <w:r w:rsidRPr="009D7FD2">
              <w:rPr>
                <w:rFonts w:ascii="Times New Roman" w:hAnsi="Times New Roman"/>
                <w:bCs/>
                <w:sz w:val="20"/>
                <w:szCs w:val="20"/>
              </w:rPr>
              <w:t>”</w:t>
            </w:r>
            <w:r w:rsidRPr="009D7FD2">
              <w:rPr>
                <w:rFonts w:ascii="Times New Roman" w:hAnsi="Times New Roman"/>
                <w:sz w:val="20"/>
                <w:szCs w:val="20"/>
                <w:shd w:val="clear" w:color="auto" w:fill="FFFFFF"/>
              </w:rPr>
              <w:t xml:space="preserve">k) sumele necesare pentru punerea în aplicare a hotărârilor judecătoreşti definitive prin care se admit parţial sau integral pretenţiile </w:t>
            </w:r>
            <w:r w:rsidRPr="009D7FD2">
              <w:rPr>
                <w:rFonts w:ascii="Times New Roman" w:hAnsi="Times New Roman"/>
                <w:b/>
                <w:sz w:val="20"/>
                <w:szCs w:val="20"/>
                <w:shd w:val="clear" w:color="auto" w:fill="FFFFFF"/>
              </w:rPr>
              <w:t>solicitanților</w:t>
            </w:r>
            <w:r w:rsidRPr="009D7FD2">
              <w:rPr>
                <w:rFonts w:ascii="Times New Roman" w:hAnsi="Times New Roman"/>
                <w:sz w:val="20"/>
                <w:szCs w:val="20"/>
                <w:shd w:val="clear" w:color="auto" w:fill="FFFFFF"/>
              </w:rPr>
              <w:t>/beneficiarilor/liderilor de parteneriat/partenerilor, inclusiv dobânzi penalizatoare şi cheltuieli de judecată în cuantumul stabilit prin hotărâre;</w:t>
            </w:r>
            <w:r w:rsidRPr="009D7FD2">
              <w:rPr>
                <w:rFonts w:ascii="Times New Roman" w:hAnsi="Times New Roman"/>
                <w:bCs/>
                <w:sz w:val="20"/>
                <w:szCs w:val="20"/>
              </w:rPr>
              <w:t>”</w:t>
            </w:r>
          </w:p>
          <w:p w14:paraId="5CD963BB" w14:textId="77777777" w:rsidR="004D14D9" w:rsidRPr="009D7FD2" w:rsidRDefault="004D14D9" w:rsidP="001969B4">
            <w:pPr>
              <w:spacing w:after="0" w:line="240" w:lineRule="auto"/>
              <w:jc w:val="both"/>
              <w:rPr>
                <w:rFonts w:ascii="Times New Roman" w:hAnsi="Times New Roman"/>
                <w:b/>
                <w:sz w:val="20"/>
                <w:szCs w:val="20"/>
                <w:shd w:val="clear" w:color="auto" w:fill="FFFFFF"/>
              </w:rPr>
            </w:pPr>
          </w:p>
        </w:tc>
        <w:tc>
          <w:tcPr>
            <w:tcW w:w="3827" w:type="dxa"/>
            <w:vAlign w:val="center"/>
          </w:tcPr>
          <w:p w14:paraId="1AD3D56D" w14:textId="77777777" w:rsidR="004D14D9" w:rsidRPr="009D7FD2" w:rsidRDefault="004D14D9" w:rsidP="001969B4">
            <w:pPr>
              <w:spacing w:after="0" w:line="240" w:lineRule="auto"/>
              <w:jc w:val="both"/>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t>Art. 9 lit. k)</w:t>
            </w:r>
          </w:p>
          <w:p w14:paraId="4BAF7DEE" w14:textId="77777777" w:rsidR="004D14D9" w:rsidRPr="009D7FD2" w:rsidRDefault="004D14D9" w:rsidP="001969B4">
            <w:pPr>
              <w:spacing w:after="0" w:line="240" w:lineRule="auto"/>
              <w:jc w:val="both"/>
              <w:rPr>
                <w:rFonts w:ascii="Times New Roman" w:hAnsi="Times New Roman"/>
                <w:b/>
                <w:sz w:val="20"/>
                <w:szCs w:val="20"/>
                <w:shd w:val="clear" w:color="auto" w:fill="FFFFFF"/>
              </w:rPr>
            </w:pPr>
            <w:r w:rsidRPr="009D7FD2">
              <w:rPr>
                <w:rFonts w:ascii="Times New Roman" w:hAnsi="Times New Roman"/>
                <w:bCs/>
                <w:sz w:val="20"/>
                <w:szCs w:val="20"/>
              </w:rPr>
              <w:t>”</w:t>
            </w:r>
            <w:r w:rsidRPr="009D7FD2">
              <w:rPr>
                <w:rFonts w:ascii="Times New Roman" w:hAnsi="Times New Roman"/>
                <w:sz w:val="20"/>
                <w:szCs w:val="20"/>
                <w:shd w:val="clear" w:color="auto" w:fill="FFFFFF"/>
              </w:rPr>
              <w:t>k) sumele necesare pentru punerea în aplicare a hotărârilor judecătoreşti definitive prin care se admit parţial sau integral pretenţiile beneficiarilor/liderilor de parteneriat/partenerilor, inclusiv dobânzi penalizatoare şi cheltuieli de judecată în cuantumul stabilit prin hotărâre;</w:t>
            </w:r>
            <w:r w:rsidRPr="009D7FD2">
              <w:rPr>
                <w:rFonts w:ascii="Times New Roman" w:hAnsi="Times New Roman"/>
                <w:bCs/>
                <w:sz w:val="20"/>
                <w:szCs w:val="20"/>
              </w:rPr>
              <w:t>”</w:t>
            </w:r>
          </w:p>
          <w:p w14:paraId="267EEA4E" w14:textId="77777777" w:rsidR="004D14D9" w:rsidRPr="009D7FD2" w:rsidRDefault="004D14D9" w:rsidP="001969B4">
            <w:pPr>
              <w:spacing w:after="0" w:line="240" w:lineRule="auto"/>
              <w:jc w:val="center"/>
              <w:rPr>
                <w:rFonts w:ascii="Times New Roman" w:hAnsi="Times New Roman"/>
                <w:b/>
                <w:sz w:val="20"/>
                <w:szCs w:val="20"/>
              </w:rPr>
            </w:pPr>
          </w:p>
        </w:tc>
        <w:tc>
          <w:tcPr>
            <w:tcW w:w="6521" w:type="dxa"/>
            <w:vAlign w:val="center"/>
          </w:tcPr>
          <w:p w14:paraId="6DEF79D1" w14:textId="77777777" w:rsidR="004D14D9" w:rsidRPr="009D7FD2" w:rsidRDefault="004D14D9" w:rsidP="001969B4">
            <w:pPr>
              <w:spacing w:after="0" w:line="240" w:lineRule="auto"/>
              <w:jc w:val="both"/>
              <w:rPr>
                <w:rFonts w:ascii="Times New Roman" w:hAnsi="Times New Roman"/>
                <w:sz w:val="20"/>
                <w:szCs w:val="20"/>
              </w:rPr>
            </w:pPr>
            <w:r w:rsidRPr="009D7FD2">
              <w:rPr>
                <w:rFonts w:ascii="Times New Roman" w:hAnsi="Times New Roman"/>
                <w:sz w:val="20"/>
                <w:szCs w:val="20"/>
              </w:rPr>
              <w:t xml:space="preserve">Prevederea este necesară pentru acoperirea situațiilor în care există hotărâri </w:t>
            </w:r>
            <w:r w:rsidRPr="009D7FD2">
              <w:rPr>
                <w:rFonts w:ascii="Times New Roman" w:hAnsi="Times New Roman"/>
                <w:sz w:val="20"/>
                <w:szCs w:val="20"/>
                <w:shd w:val="clear" w:color="auto" w:fill="FFFFFF"/>
              </w:rPr>
              <w:t xml:space="preserve">judecătoreşti definitive în favoarea solicitanților de finanțare care ar fi fost îndreptățiți să semneze contracte de finanțare. </w:t>
            </w:r>
          </w:p>
        </w:tc>
      </w:tr>
      <w:tr w:rsidR="009D7FD2" w:rsidRPr="009D7FD2" w14:paraId="08CC985C" w14:textId="77777777" w:rsidTr="004D14D9">
        <w:trPr>
          <w:trHeight w:val="849"/>
        </w:trPr>
        <w:tc>
          <w:tcPr>
            <w:tcW w:w="568" w:type="dxa"/>
            <w:vAlign w:val="center"/>
          </w:tcPr>
          <w:p w14:paraId="6E967E11" w14:textId="77777777" w:rsidR="004D14D9" w:rsidRPr="009D7FD2" w:rsidRDefault="004D14D9" w:rsidP="001969B4">
            <w:pPr>
              <w:spacing w:after="0" w:line="240" w:lineRule="auto"/>
              <w:jc w:val="center"/>
              <w:rPr>
                <w:rFonts w:ascii="Times New Roman" w:hAnsi="Times New Roman"/>
                <w:b/>
                <w:sz w:val="20"/>
                <w:szCs w:val="20"/>
              </w:rPr>
            </w:pPr>
            <w:r w:rsidRPr="009D7FD2">
              <w:rPr>
                <w:rFonts w:ascii="Times New Roman" w:hAnsi="Times New Roman"/>
                <w:b/>
                <w:sz w:val="20"/>
                <w:szCs w:val="20"/>
              </w:rPr>
              <w:t>7</w:t>
            </w:r>
          </w:p>
        </w:tc>
        <w:tc>
          <w:tcPr>
            <w:tcW w:w="4678" w:type="dxa"/>
          </w:tcPr>
          <w:p w14:paraId="1E6F3EAD" w14:textId="77777777" w:rsidR="004D14D9" w:rsidRPr="009D7FD2" w:rsidRDefault="004D14D9" w:rsidP="001969B4">
            <w:pPr>
              <w:spacing w:after="0" w:line="240" w:lineRule="auto"/>
              <w:jc w:val="both"/>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t>Art. 9 lit. ș)</w:t>
            </w:r>
          </w:p>
          <w:p w14:paraId="2CC426ED" w14:textId="77777777" w:rsidR="004D14D9" w:rsidRPr="009D7FD2" w:rsidRDefault="004D14D9" w:rsidP="001969B4">
            <w:pPr>
              <w:spacing w:after="0" w:line="240" w:lineRule="auto"/>
              <w:jc w:val="both"/>
              <w:rPr>
                <w:rFonts w:ascii="Times New Roman" w:hAnsi="Times New Roman"/>
                <w:b/>
                <w:sz w:val="20"/>
                <w:szCs w:val="20"/>
                <w:shd w:val="clear" w:color="auto" w:fill="FFFFFF"/>
              </w:rPr>
            </w:pPr>
            <w:r w:rsidRPr="009D7FD2">
              <w:rPr>
                <w:rFonts w:ascii="Times New Roman" w:hAnsi="Times New Roman"/>
                <w:sz w:val="20"/>
                <w:szCs w:val="20"/>
                <w:shd w:val="clear" w:color="auto" w:fill="FFFFFF"/>
              </w:rPr>
              <w:t>„</w:t>
            </w:r>
            <w:r w:rsidRPr="009D7FD2">
              <w:rPr>
                <w:rFonts w:ascii="Times New Roman" w:hAnsi="Times New Roman"/>
                <w:b/>
                <w:sz w:val="20"/>
                <w:szCs w:val="20"/>
                <w:shd w:val="clear" w:color="auto" w:fill="FFFFFF"/>
              </w:rPr>
              <w:t xml:space="preserve">ș) sumele necesare pentru transferul fondurilor externe nerambursabile în conturile beneficiarilor pentru situațiile în care constatările de audit nu sunt acceptate de către autoritatea de management </w:t>
            </w:r>
            <w:r w:rsidRPr="009D7FD2">
              <w:rPr>
                <w:rFonts w:ascii="Times New Roman" w:hAnsi="Times New Roman"/>
                <w:b/>
                <w:sz w:val="20"/>
                <w:szCs w:val="20"/>
                <w:shd w:val="clear" w:color="auto" w:fill="FFFFFF"/>
              </w:rPr>
              <w:lastRenderedPageBreak/>
              <w:t>până la momentul renunțării la constatare prin raport final de audit, sau în cazul de emiterii unei decizii de aplicare a unor corecții de către Comisia Europeană, până la momentul emiterii hotărârii Curții de Justiție a Uniunii Europene.</w:t>
            </w:r>
          </w:p>
        </w:tc>
        <w:tc>
          <w:tcPr>
            <w:tcW w:w="3827" w:type="dxa"/>
            <w:vAlign w:val="center"/>
          </w:tcPr>
          <w:p w14:paraId="7C160EC9" w14:textId="77777777" w:rsidR="004D14D9" w:rsidRPr="009D7FD2" w:rsidRDefault="004D14D9" w:rsidP="001969B4">
            <w:pPr>
              <w:spacing w:after="0" w:line="240" w:lineRule="auto"/>
              <w:jc w:val="center"/>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lastRenderedPageBreak/>
              <w:t>-</w:t>
            </w:r>
          </w:p>
          <w:p w14:paraId="75423A2A" w14:textId="77777777" w:rsidR="004D14D9" w:rsidRPr="009D7FD2" w:rsidRDefault="004D14D9" w:rsidP="001969B4">
            <w:pPr>
              <w:spacing w:after="0" w:line="240" w:lineRule="auto"/>
              <w:jc w:val="both"/>
              <w:rPr>
                <w:rFonts w:ascii="Times New Roman" w:hAnsi="Times New Roman"/>
                <w:b/>
                <w:sz w:val="20"/>
                <w:szCs w:val="20"/>
                <w:shd w:val="clear" w:color="auto" w:fill="FFFFFF"/>
              </w:rPr>
            </w:pPr>
          </w:p>
        </w:tc>
        <w:tc>
          <w:tcPr>
            <w:tcW w:w="6521" w:type="dxa"/>
            <w:vAlign w:val="center"/>
          </w:tcPr>
          <w:p w14:paraId="08BE54EC" w14:textId="77777777" w:rsidR="004D14D9" w:rsidRPr="009D7FD2" w:rsidRDefault="004D14D9" w:rsidP="001969B4">
            <w:pPr>
              <w:spacing w:after="0" w:line="240" w:lineRule="auto"/>
              <w:jc w:val="both"/>
              <w:rPr>
                <w:rFonts w:ascii="Times New Roman" w:hAnsi="Times New Roman"/>
                <w:sz w:val="20"/>
                <w:szCs w:val="20"/>
              </w:rPr>
            </w:pPr>
            <w:r w:rsidRPr="009D7FD2">
              <w:rPr>
                <w:rFonts w:ascii="Times New Roman" w:hAnsi="Times New Roman"/>
                <w:sz w:val="20"/>
                <w:szCs w:val="20"/>
              </w:rPr>
              <w:t xml:space="preserve">Este necesară includerea în bugetul AM a unor sume care să poată fi transferate în conturile beneficiarilor în situația în care există recomandări cu impact financiar din rapoarte de audit AA/CE/ECA care nu sunt acceptate de autoritățile de management, sau, în situația emiterii de către COM a unei decizii de aplicare a unor corecții financiare, care este a fost contestată la </w:t>
            </w:r>
            <w:r w:rsidRPr="009D7FD2">
              <w:rPr>
                <w:rFonts w:ascii="Times New Roman" w:hAnsi="Times New Roman"/>
                <w:sz w:val="20"/>
                <w:szCs w:val="20"/>
              </w:rPr>
              <w:lastRenderedPageBreak/>
              <w:t xml:space="preserve">Curtea de Justiție a UE. </w:t>
            </w:r>
          </w:p>
        </w:tc>
      </w:tr>
      <w:tr w:rsidR="009D7FD2" w:rsidRPr="009D7FD2" w14:paraId="7F7F0101" w14:textId="77777777" w:rsidTr="004D14D9">
        <w:trPr>
          <w:trHeight w:val="849"/>
        </w:trPr>
        <w:tc>
          <w:tcPr>
            <w:tcW w:w="568" w:type="dxa"/>
            <w:vAlign w:val="center"/>
          </w:tcPr>
          <w:p w14:paraId="2BFDC4DC" w14:textId="77777777" w:rsidR="004D14D9" w:rsidRPr="009D7FD2" w:rsidRDefault="004D14D9" w:rsidP="001969B4">
            <w:pPr>
              <w:spacing w:after="0" w:line="240" w:lineRule="auto"/>
              <w:jc w:val="center"/>
              <w:rPr>
                <w:rFonts w:ascii="Times New Roman" w:hAnsi="Times New Roman"/>
                <w:b/>
                <w:sz w:val="20"/>
                <w:szCs w:val="20"/>
              </w:rPr>
            </w:pPr>
            <w:r w:rsidRPr="009D7FD2">
              <w:rPr>
                <w:rFonts w:ascii="Times New Roman" w:hAnsi="Times New Roman"/>
                <w:b/>
                <w:sz w:val="20"/>
                <w:szCs w:val="20"/>
              </w:rPr>
              <w:lastRenderedPageBreak/>
              <w:t>8</w:t>
            </w:r>
          </w:p>
        </w:tc>
        <w:tc>
          <w:tcPr>
            <w:tcW w:w="4678" w:type="dxa"/>
          </w:tcPr>
          <w:p w14:paraId="4175F1AE" w14:textId="77777777" w:rsidR="004D14D9" w:rsidRPr="009D7FD2" w:rsidRDefault="004D14D9" w:rsidP="001969B4">
            <w:pPr>
              <w:spacing w:after="0" w:line="240" w:lineRule="auto"/>
              <w:jc w:val="both"/>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t>Art. 9 lit. t)</w:t>
            </w:r>
          </w:p>
          <w:p w14:paraId="64C57E2B" w14:textId="77777777" w:rsidR="004D14D9" w:rsidRPr="009D7FD2" w:rsidRDefault="004D14D9" w:rsidP="001969B4">
            <w:pPr>
              <w:spacing w:after="0" w:line="240" w:lineRule="auto"/>
              <w:jc w:val="both"/>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t>„t) sumele necesare pentru finanţarea ratei forfetare, conform art. 61 alineatul (3) lit. aa) din Regulamentul (UE) nr. 1303/2013, cu modificările și completările ulterioare, pentru proiectele care au fost aprobate prin acest mecanism;”</w:t>
            </w:r>
          </w:p>
        </w:tc>
        <w:tc>
          <w:tcPr>
            <w:tcW w:w="3827" w:type="dxa"/>
            <w:vAlign w:val="center"/>
          </w:tcPr>
          <w:p w14:paraId="07862F49" w14:textId="77777777" w:rsidR="004D14D9" w:rsidRPr="009D7FD2" w:rsidRDefault="004D14D9" w:rsidP="001969B4">
            <w:pPr>
              <w:spacing w:after="0" w:line="240" w:lineRule="auto"/>
              <w:jc w:val="center"/>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t>-</w:t>
            </w:r>
          </w:p>
        </w:tc>
        <w:tc>
          <w:tcPr>
            <w:tcW w:w="6521" w:type="dxa"/>
            <w:vAlign w:val="center"/>
          </w:tcPr>
          <w:p w14:paraId="41D0BA11" w14:textId="77777777" w:rsidR="004D14D9" w:rsidRPr="009D7FD2" w:rsidRDefault="004D14D9" w:rsidP="001969B4">
            <w:pPr>
              <w:spacing w:after="0" w:line="240" w:lineRule="auto"/>
              <w:jc w:val="both"/>
              <w:rPr>
                <w:rFonts w:ascii="Times New Roman" w:hAnsi="Times New Roman"/>
                <w:sz w:val="20"/>
                <w:szCs w:val="20"/>
              </w:rPr>
            </w:pPr>
            <w:r w:rsidRPr="009D7FD2">
              <w:rPr>
                <w:rFonts w:ascii="Times New Roman" w:hAnsi="Times New Roman"/>
                <w:sz w:val="20"/>
                <w:szCs w:val="20"/>
              </w:rPr>
              <w:t>Prin această completare se asigură baza legală pentru cuprinderea sumelor în bugetul autorității de management pentru asigurarea fondurilor necesare acoperirii ratei forfetare de 6%.</w:t>
            </w:r>
          </w:p>
        </w:tc>
      </w:tr>
      <w:tr w:rsidR="009D7FD2" w:rsidRPr="009D7FD2" w14:paraId="6B613ADE" w14:textId="77777777" w:rsidTr="004D14D9">
        <w:trPr>
          <w:trHeight w:val="849"/>
        </w:trPr>
        <w:tc>
          <w:tcPr>
            <w:tcW w:w="568" w:type="dxa"/>
            <w:vAlign w:val="center"/>
          </w:tcPr>
          <w:p w14:paraId="100E1A14" w14:textId="5442FECB" w:rsidR="007021AF" w:rsidRPr="009D7FD2" w:rsidRDefault="007021AF" w:rsidP="001969B4">
            <w:pPr>
              <w:spacing w:after="0" w:line="240" w:lineRule="auto"/>
              <w:jc w:val="center"/>
              <w:rPr>
                <w:rFonts w:ascii="Times New Roman" w:hAnsi="Times New Roman"/>
                <w:b/>
                <w:sz w:val="20"/>
                <w:szCs w:val="20"/>
              </w:rPr>
            </w:pPr>
            <w:r w:rsidRPr="009D7FD2">
              <w:rPr>
                <w:rFonts w:ascii="Times New Roman" w:hAnsi="Times New Roman"/>
                <w:b/>
                <w:sz w:val="20"/>
                <w:szCs w:val="20"/>
              </w:rPr>
              <w:t>9</w:t>
            </w:r>
          </w:p>
        </w:tc>
        <w:tc>
          <w:tcPr>
            <w:tcW w:w="4678" w:type="dxa"/>
          </w:tcPr>
          <w:p w14:paraId="6ADBA5E5" w14:textId="73A4A662" w:rsidR="007021AF" w:rsidRPr="009D7FD2" w:rsidRDefault="007021AF" w:rsidP="007021AF">
            <w:pPr>
              <w:spacing w:after="0" w:line="240" w:lineRule="auto"/>
              <w:jc w:val="both"/>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t>Art. 12</w:t>
            </w:r>
            <w:r w:rsidRPr="009D7FD2">
              <w:rPr>
                <w:rFonts w:ascii="Times New Roman" w:hAnsi="Times New Roman"/>
                <w:sz w:val="20"/>
                <w:szCs w:val="20"/>
                <w:shd w:val="clear" w:color="auto" w:fill="FFFFFF"/>
              </w:rPr>
              <w:t xml:space="preserve"> </w:t>
            </w:r>
            <w:r w:rsidRPr="009D7FD2">
              <w:rPr>
                <w:rFonts w:ascii="Times New Roman" w:hAnsi="Times New Roman"/>
                <w:b/>
                <w:sz w:val="20"/>
                <w:szCs w:val="20"/>
                <w:shd w:val="clear" w:color="auto" w:fill="FFFFFF"/>
              </w:rPr>
              <w:t>alineat (</w:t>
            </w:r>
            <m:oMath>
              <m:sSup>
                <m:sSupPr>
                  <m:ctrlPr>
                    <w:rPr>
                      <w:rFonts w:ascii="Cambria Math" w:hAnsi="Cambria Math"/>
                      <w:b/>
                      <w:i/>
                      <w:sz w:val="20"/>
                      <w:szCs w:val="20"/>
                      <w:shd w:val="clear" w:color="auto" w:fill="FFFFFF"/>
                    </w:rPr>
                  </m:ctrlPr>
                </m:sSupPr>
                <m:e>
                  <m:r>
                    <m:rPr>
                      <m:sty m:val="bi"/>
                    </m:rPr>
                    <w:rPr>
                      <w:rFonts w:ascii="Cambria Math" w:hAnsi="Cambria Math"/>
                      <w:sz w:val="20"/>
                      <w:szCs w:val="20"/>
                      <w:shd w:val="clear" w:color="auto" w:fill="FFFFFF"/>
                    </w:rPr>
                    <m:t>1</m:t>
                  </m:r>
                </m:e>
                <m:sup>
                  <m:r>
                    <m:rPr>
                      <m:sty m:val="bi"/>
                    </m:rPr>
                    <w:rPr>
                      <w:rFonts w:ascii="Cambria Math" w:hAnsi="Cambria Math"/>
                      <w:sz w:val="20"/>
                      <w:szCs w:val="20"/>
                      <w:shd w:val="clear" w:color="auto" w:fill="FFFFFF"/>
                    </w:rPr>
                    <m:t>2</m:t>
                  </m:r>
                </m:sup>
              </m:sSup>
              <m:r>
                <m:rPr>
                  <m:sty m:val="bi"/>
                </m:rPr>
                <w:rPr>
                  <w:rFonts w:ascii="Cambria Math" w:hAnsi="Cambria Math"/>
                  <w:sz w:val="20"/>
                  <w:szCs w:val="20"/>
                  <w:shd w:val="clear" w:color="auto" w:fill="FFFFFF"/>
                </w:rPr>
                <m:t>)</m:t>
              </m:r>
            </m:oMath>
            <w:r w:rsidRPr="009D7FD2">
              <w:rPr>
                <w:rFonts w:ascii="Times New Roman" w:hAnsi="Times New Roman"/>
                <w:b/>
                <w:sz w:val="20"/>
                <w:szCs w:val="20"/>
                <w:shd w:val="clear" w:color="auto" w:fill="FFFFFF"/>
              </w:rPr>
              <w:t xml:space="preserve"> </w:t>
            </w:r>
          </w:p>
          <w:p w14:paraId="363D1040" w14:textId="77777777" w:rsidR="009170F7" w:rsidRPr="009D7FD2" w:rsidRDefault="009170F7" w:rsidP="009170F7">
            <w:pPr>
              <w:spacing w:before="120" w:after="120" w:line="240" w:lineRule="auto"/>
              <w:jc w:val="both"/>
              <w:rPr>
                <w:rFonts w:ascii="Times New Roman" w:hAnsi="Times New Roman"/>
                <w:sz w:val="20"/>
                <w:szCs w:val="20"/>
                <w:shd w:val="clear" w:color="auto" w:fill="FFFFFF"/>
              </w:rPr>
            </w:pPr>
            <w:r w:rsidRPr="009D7FD2">
              <w:rPr>
                <w:rFonts w:ascii="Times New Roman" w:hAnsi="Times New Roman"/>
                <w:sz w:val="20"/>
                <w:szCs w:val="20"/>
                <w:shd w:val="clear" w:color="auto" w:fill="FFFFFF"/>
              </w:rPr>
              <w:t>(</w:t>
            </w:r>
            <m:oMath>
              <m:sSup>
                <m:sSupPr>
                  <m:ctrlPr>
                    <w:rPr>
                      <w:rFonts w:ascii="Cambria Math" w:hAnsi="Cambria Math"/>
                      <w:i/>
                      <w:sz w:val="20"/>
                      <w:szCs w:val="20"/>
                      <w:shd w:val="clear" w:color="auto" w:fill="FFFFFF"/>
                    </w:rPr>
                  </m:ctrlPr>
                </m:sSupPr>
                <m:e>
                  <m:r>
                    <w:rPr>
                      <w:rFonts w:ascii="Cambria Math" w:hAnsi="Cambria Math"/>
                      <w:sz w:val="20"/>
                      <w:szCs w:val="20"/>
                      <w:shd w:val="clear" w:color="auto" w:fill="FFFFFF"/>
                    </w:rPr>
                    <m:t>1</m:t>
                  </m:r>
                </m:e>
                <m:sup>
                  <m:r>
                    <w:rPr>
                      <w:rFonts w:ascii="Cambria Math" w:hAnsi="Cambria Math"/>
                      <w:sz w:val="20"/>
                      <w:szCs w:val="20"/>
                      <w:shd w:val="clear" w:color="auto" w:fill="FFFFFF"/>
                    </w:rPr>
                    <m:t>2</m:t>
                  </m:r>
                </m:sup>
              </m:sSup>
              <m:r>
                <w:rPr>
                  <w:rFonts w:ascii="Cambria Math" w:hAnsi="Cambria Math"/>
                  <w:sz w:val="20"/>
                  <w:szCs w:val="20"/>
                  <w:shd w:val="clear" w:color="auto" w:fill="FFFFFF"/>
                </w:rPr>
                <m:t>)</m:t>
              </m:r>
            </m:oMath>
            <w:r w:rsidRPr="009D7FD2">
              <w:rPr>
                <w:rFonts w:ascii="Times New Roman" w:hAnsi="Times New Roman"/>
                <w:sz w:val="20"/>
                <w:szCs w:val="20"/>
                <w:shd w:val="clear" w:color="auto" w:fill="FFFFFF"/>
              </w:rPr>
              <w:t xml:space="preserve"> Prevederile art. 9 lit. (d</w:t>
            </w:r>
            <w:r w:rsidRPr="009D7FD2">
              <w:rPr>
                <w:rFonts w:ascii="Times New Roman" w:hAnsi="Times New Roman"/>
                <w:sz w:val="20"/>
                <w:szCs w:val="20"/>
                <w:shd w:val="clear" w:color="auto" w:fill="FFFFFF"/>
                <w:vertAlign w:val="superscript"/>
              </w:rPr>
              <w:t>1</w:t>
            </w:r>
            <w:r w:rsidRPr="009D7FD2">
              <w:rPr>
                <w:rFonts w:ascii="Times New Roman" w:hAnsi="Times New Roman"/>
                <w:sz w:val="20"/>
                <w:szCs w:val="20"/>
                <w:shd w:val="clear" w:color="auto" w:fill="FFFFFF"/>
              </w:rPr>
              <w:t>) se aplică în cazul contractelor/ordinelor/deciziilor de finanțare încheiate/emise în condițiile stabilite la alin. (1) pentru proiectele care îndeplinesc cumulativ următoarele condiții:</w:t>
            </w:r>
          </w:p>
          <w:p w14:paraId="048A0FF3" w14:textId="77777777" w:rsidR="009170F7" w:rsidRPr="009D7FD2" w:rsidRDefault="009170F7" w:rsidP="009170F7">
            <w:pPr>
              <w:pStyle w:val="ListParagraph"/>
              <w:numPr>
                <w:ilvl w:val="0"/>
                <w:numId w:val="13"/>
              </w:numPr>
              <w:spacing w:after="0" w:line="240" w:lineRule="auto"/>
              <w:ind w:left="714" w:hanging="357"/>
              <w:jc w:val="both"/>
              <w:rPr>
                <w:rFonts w:ascii="Times New Roman" w:hAnsi="Times New Roman"/>
                <w:sz w:val="20"/>
                <w:szCs w:val="20"/>
                <w:shd w:val="clear" w:color="auto" w:fill="FFFFFF"/>
              </w:rPr>
            </w:pPr>
            <w:r w:rsidRPr="009D7FD2">
              <w:rPr>
                <w:rFonts w:ascii="Times New Roman" w:hAnsi="Times New Roman"/>
                <w:sz w:val="20"/>
                <w:szCs w:val="20"/>
                <w:shd w:val="clear" w:color="auto" w:fill="FFFFFF"/>
              </w:rPr>
              <w:t>se încadrează în categoria proiectelor de infrastructură din domeniul transportului, mediului, deșeurilor, mobilității urbane sau regenerării urbane;</w:t>
            </w:r>
          </w:p>
          <w:p w14:paraId="3F9282D1" w14:textId="77777777" w:rsidR="009170F7" w:rsidRPr="009D7FD2" w:rsidRDefault="009170F7" w:rsidP="009170F7">
            <w:pPr>
              <w:pStyle w:val="ListParagraph"/>
              <w:numPr>
                <w:ilvl w:val="0"/>
                <w:numId w:val="13"/>
              </w:numPr>
              <w:spacing w:after="0" w:line="240" w:lineRule="auto"/>
              <w:ind w:left="714" w:hanging="357"/>
              <w:jc w:val="both"/>
              <w:rPr>
                <w:rFonts w:ascii="Times New Roman" w:hAnsi="Times New Roman"/>
                <w:sz w:val="20"/>
                <w:szCs w:val="20"/>
                <w:shd w:val="clear" w:color="auto" w:fill="FFFFFF"/>
              </w:rPr>
            </w:pPr>
            <w:r w:rsidRPr="009D7FD2">
              <w:rPr>
                <w:rFonts w:ascii="Times New Roman" w:hAnsi="Times New Roman"/>
                <w:sz w:val="20"/>
                <w:szCs w:val="20"/>
                <w:shd w:val="clear" w:color="auto" w:fill="FFFFFF"/>
              </w:rPr>
              <w:t>fac parte din documente strategice/planuri de dezvoltare/studii precum și orice alte categorii de documente prin care se stabilesc direcții de dezvoltare la nivel național sau la nivel județean/local;</w:t>
            </w:r>
          </w:p>
          <w:p w14:paraId="72B165D6" w14:textId="77777777" w:rsidR="009170F7" w:rsidRPr="009D7FD2" w:rsidRDefault="009170F7" w:rsidP="009170F7">
            <w:pPr>
              <w:pStyle w:val="ListParagraph"/>
              <w:numPr>
                <w:ilvl w:val="0"/>
                <w:numId w:val="13"/>
              </w:numPr>
              <w:spacing w:after="0" w:line="240" w:lineRule="auto"/>
              <w:ind w:left="714" w:hanging="357"/>
              <w:jc w:val="both"/>
              <w:rPr>
                <w:rFonts w:ascii="Times New Roman" w:hAnsi="Times New Roman"/>
                <w:sz w:val="20"/>
                <w:szCs w:val="20"/>
                <w:shd w:val="clear" w:color="auto" w:fill="FFFFFF"/>
              </w:rPr>
            </w:pPr>
            <w:r w:rsidRPr="009D7FD2">
              <w:rPr>
                <w:rFonts w:ascii="Times New Roman" w:hAnsi="Times New Roman"/>
                <w:sz w:val="20"/>
                <w:szCs w:val="20"/>
                <w:shd w:val="clear" w:color="auto" w:fill="FFFFFF"/>
              </w:rPr>
              <w:t>se pot delimita cheltuielile efectuate în perioada de programare 2014-2020 față de cheltuielile care urmează a se efectua în perioada de programare 2021-2027 în vederea încadrării acestora în categoria proiectelor fazate după aprobarea Regulamentelor Europene;</w:t>
            </w:r>
          </w:p>
          <w:p w14:paraId="1A9CC1C0" w14:textId="77777777" w:rsidR="009170F7" w:rsidRPr="009D7FD2" w:rsidRDefault="009170F7" w:rsidP="009170F7">
            <w:pPr>
              <w:pStyle w:val="ListParagraph"/>
              <w:numPr>
                <w:ilvl w:val="0"/>
                <w:numId w:val="13"/>
              </w:numPr>
              <w:spacing w:after="0" w:line="240" w:lineRule="auto"/>
              <w:ind w:left="714" w:hanging="357"/>
              <w:jc w:val="both"/>
              <w:rPr>
                <w:rFonts w:ascii="Times New Roman" w:hAnsi="Times New Roman"/>
                <w:sz w:val="20"/>
                <w:szCs w:val="20"/>
                <w:shd w:val="clear" w:color="auto" w:fill="FFFFFF"/>
              </w:rPr>
            </w:pPr>
            <w:r w:rsidRPr="009D7FD2">
              <w:rPr>
                <w:rFonts w:ascii="Times New Roman" w:hAnsi="Times New Roman"/>
                <w:sz w:val="20"/>
                <w:szCs w:val="20"/>
                <w:shd w:val="clear" w:color="auto" w:fill="FFFFFF"/>
              </w:rPr>
              <w:t>se încadrează în prioritățile de finanțare specifice pentru exercițiul financiar 2021-2027;</w:t>
            </w:r>
          </w:p>
          <w:p w14:paraId="080B3947" w14:textId="77777777" w:rsidR="007021AF" w:rsidRPr="009D7FD2" w:rsidRDefault="007021AF" w:rsidP="007021AF">
            <w:pPr>
              <w:spacing w:after="0" w:line="240" w:lineRule="auto"/>
              <w:ind w:firstLine="360"/>
              <w:jc w:val="both"/>
              <w:rPr>
                <w:rFonts w:ascii="Times New Roman" w:hAnsi="Times New Roman"/>
                <w:b/>
                <w:sz w:val="20"/>
                <w:szCs w:val="20"/>
                <w:shd w:val="clear" w:color="auto" w:fill="FFFFFF"/>
              </w:rPr>
            </w:pPr>
          </w:p>
        </w:tc>
        <w:tc>
          <w:tcPr>
            <w:tcW w:w="3827" w:type="dxa"/>
            <w:vAlign w:val="center"/>
          </w:tcPr>
          <w:p w14:paraId="31A0FB43" w14:textId="3C076466" w:rsidR="007021AF" w:rsidRPr="009D7FD2" w:rsidRDefault="007021AF" w:rsidP="001969B4">
            <w:pPr>
              <w:spacing w:after="0" w:line="240" w:lineRule="auto"/>
              <w:jc w:val="center"/>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t>-</w:t>
            </w:r>
          </w:p>
        </w:tc>
        <w:tc>
          <w:tcPr>
            <w:tcW w:w="6521" w:type="dxa"/>
            <w:vAlign w:val="center"/>
          </w:tcPr>
          <w:p w14:paraId="07D40219" w14:textId="6D047522" w:rsidR="007021AF" w:rsidRPr="009D7FD2" w:rsidRDefault="00CA032A" w:rsidP="001969B4">
            <w:pPr>
              <w:spacing w:after="0" w:line="240" w:lineRule="auto"/>
              <w:jc w:val="both"/>
              <w:rPr>
                <w:rFonts w:ascii="Times New Roman" w:hAnsi="Times New Roman"/>
                <w:sz w:val="20"/>
                <w:szCs w:val="20"/>
              </w:rPr>
            </w:pPr>
            <w:r w:rsidRPr="009D7FD2">
              <w:rPr>
                <w:rFonts w:ascii="Times New Roman" w:hAnsi="Times New Roman"/>
                <w:sz w:val="20"/>
                <w:szCs w:val="20"/>
              </w:rPr>
              <w:t>A se vedea explicația de la punctul 5</w:t>
            </w:r>
          </w:p>
        </w:tc>
      </w:tr>
      <w:tr w:rsidR="009D7FD2" w:rsidRPr="009D7FD2" w14:paraId="5D5D8DF7" w14:textId="77777777" w:rsidTr="004D14D9">
        <w:trPr>
          <w:trHeight w:val="849"/>
        </w:trPr>
        <w:tc>
          <w:tcPr>
            <w:tcW w:w="568" w:type="dxa"/>
            <w:vAlign w:val="center"/>
          </w:tcPr>
          <w:p w14:paraId="147E9AF7" w14:textId="252CE555" w:rsidR="007021AF" w:rsidRPr="009D7FD2" w:rsidRDefault="007021AF" w:rsidP="001969B4">
            <w:pPr>
              <w:spacing w:after="0" w:line="240" w:lineRule="auto"/>
              <w:jc w:val="center"/>
              <w:rPr>
                <w:rFonts w:ascii="Times New Roman" w:hAnsi="Times New Roman"/>
                <w:b/>
                <w:sz w:val="20"/>
                <w:szCs w:val="20"/>
              </w:rPr>
            </w:pPr>
            <w:r w:rsidRPr="009D7FD2">
              <w:rPr>
                <w:rFonts w:ascii="Times New Roman" w:hAnsi="Times New Roman"/>
                <w:b/>
                <w:sz w:val="20"/>
                <w:szCs w:val="20"/>
              </w:rPr>
              <w:lastRenderedPageBreak/>
              <w:t>10</w:t>
            </w:r>
          </w:p>
        </w:tc>
        <w:tc>
          <w:tcPr>
            <w:tcW w:w="4678" w:type="dxa"/>
          </w:tcPr>
          <w:p w14:paraId="4DB3BDEE" w14:textId="298DB28C" w:rsidR="007021AF" w:rsidRPr="009D7FD2" w:rsidRDefault="007021AF" w:rsidP="007021AF">
            <w:pPr>
              <w:spacing w:after="0" w:line="240" w:lineRule="auto"/>
              <w:jc w:val="both"/>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t>Art. 12 alineat (</w:t>
            </w:r>
            <m:oMath>
              <m:sSup>
                <m:sSupPr>
                  <m:ctrlPr>
                    <w:rPr>
                      <w:rFonts w:ascii="Cambria Math" w:hAnsi="Cambria Math"/>
                      <w:b/>
                      <w:i/>
                      <w:sz w:val="20"/>
                      <w:szCs w:val="20"/>
                      <w:shd w:val="clear" w:color="auto" w:fill="FFFFFF"/>
                    </w:rPr>
                  </m:ctrlPr>
                </m:sSupPr>
                <m:e>
                  <m:r>
                    <m:rPr>
                      <m:sty m:val="bi"/>
                    </m:rPr>
                    <w:rPr>
                      <w:rFonts w:ascii="Cambria Math" w:hAnsi="Cambria Math"/>
                      <w:sz w:val="20"/>
                      <w:szCs w:val="20"/>
                      <w:shd w:val="clear" w:color="auto" w:fill="FFFFFF"/>
                    </w:rPr>
                    <m:t>1</m:t>
                  </m:r>
                </m:e>
                <m:sup>
                  <m:r>
                    <m:rPr>
                      <m:sty m:val="bi"/>
                    </m:rPr>
                    <w:rPr>
                      <w:rFonts w:ascii="Cambria Math" w:hAnsi="Cambria Math"/>
                      <w:sz w:val="20"/>
                      <w:szCs w:val="20"/>
                      <w:shd w:val="clear" w:color="auto" w:fill="FFFFFF"/>
                    </w:rPr>
                    <m:t>3</m:t>
                  </m:r>
                </m:sup>
              </m:sSup>
              <m:r>
                <m:rPr>
                  <m:sty m:val="bi"/>
                </m:rPr>
                <w:rPr>
                  <w:rFonts w:ascii="Cambria Math" w:hAnsi="Cambria Math"/>
                  <w:sz w:val="20"/>
                  <w:szCs w:val="20"/>
                  <w:shd w:val="clear" w:color="auto" w:fill="FFFFFF"/>
                </w:rPr>
                <m:t>)</m:t>
              </m:r>
            </m:oMath>
            <w:r w:rsidRPr="009D7FD2">
              <w:rPr>
                <w:rFonts w:ascii="Times New Roman" w:hAnsi="Times New Roman"/>
                <w:b/>
                <w:sz w:val="20"/>
                <w:szCs w:val="20"/>
                <w:shd w:val="clear" w:color="auto" w:fill="FFFFFF"/>
              </w:rPr>
              <w:t xml:space="preserve"> </w:t>
            </w:r>
          </w:p>
          <w:p w14:paraId="03737F3B" w14:textId="041675AD" w:rsidR="007021AF" w:rsidRPr="009D7FD2" w:rsidRDefault="007021AF" w:rsidP="007021AF">
            <w:pPr>
              <w:spacing w:after="0" w:line="240" w:lineRule="auto"/>
              <w:jc w:val="both"/>
              <w:rPr>
                <w:rFonts w:ascii="Times New Roman" w:hAnsi="Times New Roman"/>
                <w:sz w:val="20"/>
                <w:szCs w:val="20"/>
                <w:shd w:val="clear" w:color="auto" w:fill="FFFFFF"/>
              </w:rPr>
            </w:pPr>
            <w:r w:rsidRPr="009D7FD2">
              <w:rPr>
                <w:rFonts w:ascii="Times New Roman" w:hAnsi="Times New Roman"/>
                <w:sz w:val="20"/>
                <w:szCs w:val="20"/>
                <w:shd w:val="clear" w:color="auto" w:fill="FFFFFF"/>
              </w:rPr>
              <w:t>(</w:t>
            </w:r>
            <m:oMath>
              <m:sSup>
                <m:sSupPr>
                  <m:ctrlPr>
                    <w:rPr>
                      <w:rFonts w:ascii="Cambria Math" w:hAnsi="Cambria Math"/>
                      <w:i/>
                      <w:sz w:val="20"/>
                      <w:szCs w:val="20"/>
                      <w:shd w:val="clear" w:color="auto" w:fill="FFFFFF"/>
                    </w:rPr>
                  </m:ctrlPr>
                </m:sSupPr>
                <m:e>
                  <m:r>
                    <w:rPr>
                      <w:rFonts w:ascii="Cambria Math" w:hAnsi="Cambria Math"/>
                      <w:sz w:val="20"/>
                      <w:szCs w:val="20"/>
                      <w:shd w:val="clear" w:color="auto" w:fill="FFFFFF"/>
                    </w:rPr>
                    <m:t>1</m:t>
                  </m:r>
                </m:e>
                <m:sup>
                  <m:r>
                    <w:rPr>
                      <w:rFonts w:ascii="Cambria Math" w:hAnsi="Cambria Math"/>
                      <w:sz w:val="20"/>
                      <w:szCs w:val="20"/>
                      <w:shd w:val="clear" w:color="auto" w:fill="FFFFFF"/>
                    </w:rPr>
                    <m:t>3</m:t>
                  </m:r>
                </m:sup>
              </m:sSup>
              <m:r>
                <w:rPr>
                  <w:rFonts w:ascii="Cambria Math" w:hAnsi="Cambria Math"/>
                  <w:sz w:val="20"/>
                  <w:szCs w:val="20"/>
                  <w:shd w:val="clear" w:color="auto" w:fill="FFFFFF"/>
                </w:rPr>
                <m:t>)</m:t>
              </m:r>
            </m:oMath>
            <w:r w:rsidRPr="009D7FD2">
              <w:rPr>
                <w:rFonts w:ascii="Times New Roman" w:hAnsi="Times New Roman"/>
                <w:sz w:val="20"/>
                <w:szCs w:val="20"/>
                <w:shd w:val="clear" w:color="auto" w:fill="FFFFFF"/>
              </w:rPr>
              <w:t xml:space="preserve"> Creditele de angajament aprobate în condițiile prevăzute la alin.(1) pentru categoriile de proiecte care îndeplinesc cumulativ condițiile prevăzute la alin. (</w:t>
            </w:r>
            <m:oMath>
              <m:sSup>
                <m:sSupPr>
                  <m:ctrlPr>
                    <w:rPr>
                      <w:rFonts w:ascii="Cambria Math" w:hAnsi="Cambria Math"/>
                      <w:i/>
                      <w:sz w:val="20"/>
                      <w:szCs w:val="20"/>
                      <w:shd w:val="clear" w:color="auto" w:fill="FFFFFF"/>
                    </w:rPr>
                  </m:ctrlPr>
                </m:sSupPr>
                <m:e>
                  <m:r>
                    <w:rPr>
                      <w:rFonts w:ascii="Cambria Math" w:hAnsi="Cambria Math"/>
                      <w:sz w:val="20"/>
                      <w:szCs w:val="20"/>
                      <w:shd w:val="clear" w:color="auto" w:fill="FFFFFF"/>
                    </w:rPr>
                    <m:t>1</m:t>
                  </m:r>
                </m:e>
                <m:sup>
                  <m:r>
                    <w:rPr>
                      <w:rFonts w:ascii="Cambria Math" w:hAnsi="Cambria Math"/>
                      <w:sz w:val="20"/>
                      <w:szCs w:val="20"/>
                      <w:shd w:val="clear" w:color="auto" w:fill="FFFFFF"/>
                    </w:rPr>
                    <m:t>2</m:t>
                  </m:r>
                </m:sup>
              </m:sSup>
              <m:r>
                <w:rPr>
                  <w:rFonts w:ascii="Cambria Math" w:hAnsi="Cambria Math"/>
                  <w:sz w:val="20"/>
                  <w:szCs w:val="20"/>
                  <w:shd w:val="clear" w:color="auto" w:fill="FFFFFF"/>
                </w:rPr>
                <m:t>)</m:t>
              </m:r>
            </m:oMath>
            <w:r w:rsidRPr="009D7FD2">
              <w:rPr>
                <w:rFonts w:ascii="Times New Roman" w:hAnsi="Times New Roman"/>
                <w:sz w:val="20"/>
                <w:szCs w:val="20"/>
                <w:shd w:val="clear" w:color="auto" w:fill="FFFFFF"/>
              </w:rPr>
              <w:t xml:space="preserve"> se pot </w:t>
            </w:r>
            <w:r w:rsidR="009170F7" w:rsidRPr="009D7FD2">
              <w:rPr>
                <w:rFonts w:ascii="Times New Roman" w:hAnsi="Times New Roman"/>
                <w:sz w:val="20"/>
                <w:szCs w:val="20"/>
                <w:shd w:val="clear" w:color="auto" w:fill="FFFFFF"/>
              </w:rPr>
              <w:t>redistribui</w:t>
            </w:r>
            <w:r w:rsidRPr="009D7FD2">
              <w:rPr>
                <w:rFonts w:ascii="Times New Roman" w:hAnsi="Times New Roman"/>
                <w:sz w:val="20"/>
                <w:szCs w:val="20"/>
                <w:shd w:val="clear" w:color="auto" w:fill="FFFFFF"/>
              </w:rPr>
              <w:t xml:space="preserve"> între ordonatorii principali de credite cu încadrarea în limitele valorii creditelor de angajament la nivel de program conform legii;</w:t>
            </w:r>
          </w:p>
          <w:p w14:paraId="580BA1F0" w14:textId="77777777" w:rsidR="007021AF" w:rsidRPr="009D7FD2" w:rsidRDefault="007021AF" w:rsidP="007021AF">
            <w:pPr>
              <w:spacing w:after="0" w:line="240" w:lineRule="auto"/>
              <w:jc w:val="both"/>
              <w:rPr>
                <w:rFonts w:ascii="Times New Roman" w:hAnsi="Times New Roman"/>
                <w:b/>
                <w:sz w:val="20"/>
                <w:szCs w:val="20"/>
                <w:shd w:val="clear" w:color="auto" w:fill="FFFFFF"/>
              </w:rPr>
            </w:pPr>
          </w:p>
        </w:tc>
        <w:tc>
          <w:tcPr>
            <w:tcW w:w="3827" w:type="dxa"/>
            <w:vAlign w:val="center"/>
          </w:tcPr>
          <w:p w14:paraId="51505478" w14:textId="02A37819" w:rsidR="007021AF" w:rsidRPr="009D7FD2" w:rsidRDefault="007021AF" w:rsidP="001969B4">
            <w:pPr>
              <w:spacing w:after="0" w:line="240" w:lineRule="auto"/>
              <w:jc w:val="center"/>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t>-</w:t>
            </w:r>
          </w:p>
        </w:tc>
        <w:tc>
          <w:tcPr>
            <w:tcW w:w="6521" w:type="dxa"/>
            <w:vAlign w:val="center"/>
          </w:tcPr>
          <w:p w14:paraId="11C56919" w14:textId="77777777" w:rsidR="007021AF" w:rsidRPr="009D7FD2" w:rsidRDefault="007021AF" w:rsidP="001969B4">
            <w:pPr>
              <w:spacing w:after="0" w:line="240" w:lineRule="auto"/>
              <w:jc w:val="both"/>
              <w:rPr>
                <w:rFonts w:ascii="Times New Roman" w:hAnsi="Times New Roman"/>
                <w:sz w:val="20"/>
                <w:szCs w:val="20"/>
              </w:rPr>
            </w:pPr>
          </w:p>
        </w:tc>
      </w:tr>
      <w:tr w:rsidR="009D7FD2" w:rsidRPr="009D7FD2" w14:paraId="6E5915B0" w14:textId="77777777" w:rsidTr="004D14D9">
        <w:trPr>
          <w:trHeight w:val="284"/>
        </w:trPr>
        <w:tc>
          <w:tcPr>
            <w:tcW w:w="568" w:type="dxa"/>
            <w:vAlign w:val="center"/>
          </w:tcPr>
          <w:p w14:paraId="4656739B" w14:textId="6C375B7C" w:rsidR="004D14D9" w:rsidRPr="009D7FD2" w:rsidRDefault="007021AF" w:rsidP="001969B4">
            <w:pPr>
              <w:spacing w:after="0" w:line="240" w:lineRule="auto"/>
              <w:jc w:val="center"/>
              <w:rPr>
                <w:rFonts w:ascii="Times New Roman" w:hAnsi="Times New Roman"/>
                <w:b/>
                <w:sz w:val="20"/>
                <w:szCs w:val="20"/>
              </w:rPr>
            </w:pPr>
            <w:r w:rsidRPr="009D7FD2">
              <w:rPr>
                <w:rFonts w:ascii="Times New Roman" w:hAnsi="Times New Roman"/>
                <w:b/>
                <w:sz w:val="20"/>
                <w:szCs w:val="20"/>
              </w:rPr>
              <w:t>11</w:t>
            </w:r>
          </w:p>
        </w:tc>
        <w:tc>
          <w:tcPr>
            <w:tcW w:w="4678" w:type="dxa"/>
          </w:tcPr>
          <w:p w14:paraId="7D9DDF0A" w14:textId="77777777" w:rsidR="004D14D9" w:rsidRPr="009D7FD2" w:rsidRDefault="004D14D9" w:rsidP="001969B4">
            <w:pPr>
              <w:spacing w:after="0" w:line="240" w:lineRule="auto"/>
              <w:jc w:val="both"/>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t>Art. 12 alin. (2</w:t>
            </w:r>
            <w:r w:rsidRPr="009D7FD2">
              <w:rPr>
                <w:rFonts w:ascii="Times New Roman" w:hAnsi="Times New Roman"/>
                <w:b/>
                <w:sz w:val="20"/>
                <w:szCs w:val="20"/>
                <w:shd w:val="clear" w:color="auto" w:fill="FFFFFF"/>
                <w:vertAlign w:val="superscript"/>
              </w:rPr>
              <w:t>2</w:t>
            </w:r>
            <w:r w:rsidRPr="009D7FD2">
              <w:rPr>
                <w:rFonts w:ascii="Times New Roman" w:hAnsi="Times New Roman"/>
                <w:b/>
                <w:sz w:val="20"/>
                <w:szCs w:val="20"/>
                <w:shd w:val="clear" w:color="auto" w:fill="FFFFFF"/>
              </w:rPr>
              <w:t>)</w:t>
            </w:r>
          </w:p>
          <w:p w14:paraId="2C828BC1" w14:textId="77777777" w:rsidR="004D14D9" w:rsidRPr="009D7FD2" w:rsidRDefault="004D14D9" w:rsidP="001969B4">
            <w:pPr>
              <w:spacing w:after="0" w:line="240" w:lineRule="auto"/>
              <w:jc w:val="both"/>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t>”(2</w:t>
            </w:r>
            <w:r w:rsidRPr="009D7FD2">
              <w:rPr>
                <w:rFonts w:ascii="Times New Roman" w:hAnsi="Times New Roman"/>
                <w:b/>
                <w:sz w:val="20"/>
                <w:szCs w:val="20"/>
                <w:shd w:val="clear" w:color="auto" w:fill="FFFFFF"/>
                <w:vertAlign w:val="superscript"/>
              </w:rPr>
              <w:t>2</w:t>
            </w:r>
            <w:r w:rsidRPr="009D7FD2">
              <w:rPr>
                <w:rFonts w:ascii="Times New Roman" w:hAnsi="Times New Roman"/>
                <w:b/>
                <w:sz w:val="20"/>
                <w:szCs w:val="20"/>
                <w:shd w:val="clear" w:color="auto" w:fill="FFFFFF"/>
              </w:rPr>
              <w:t xml:space="preserve">) Se autorizează autoritățile de management să încheie /să emită acte adiționale la contractele/deciziile/ordinele de finanţare, în limitele stabilite la alin. 1), în vederea asigurării ajustărilor de preț, efectuate în conformitate cu prevederile legale în vigoare și în baza unei metodologii de ajustare aprobată prin ordin al ministrului fondurilor europene.” </w:t>
            </w:r>
          </w:p>
        </w:tc>
        <w:tc>
          <w:tcPr>
            <w:tcW w:w="3827" w:type="dxa"/>
            <w:vAlign w:val="center"/>
          </w:tcPr>
          <w:p w14:paraId="27382E2D" w14:textId="77777777" w:rsidR="004D14D9" w:rsidRPr="009D7FD2" w:rsidRDefault="004D14D9" w:rsidP="001969B4">
            <w:pPr>
              <w:spacing w:after="0" w:line="240" w:lineRule="auto"/>
              <w:jc w:val="center"/>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t>-</w:t>
            </w:r>
          </w:p>
        </w:tc>
        <w:tc>
          <w:tcPr>
            <w:tcW w:w="6521" w:type="dxa"/>
            <w:vAlign w:val="center"/>
          </w:tcPr>
          <w:p w14:paraId="31503DA1" w14:textId="77777777" w:rsidR="004D14D9" w:rsidRPr="009D7FD2" w:rsidRDefault="004D14D9" w:rsidP="001969B4">
            <w:pPr>
              <w:spacing w:before="120" w:after="120" w:line="240" w:lineRule="auto"/>
              <w:jc w:val="both"/>
              <w:rPr>
                <w:rFonts w:ascii="Times New Roman" w:hAnsi="Times New Roman"/>
                <w:sz w:val="20"/>
                <w:szCs w:val="20"/>
              </w:rPr>
            </w:pPr>
            <w:r w:rsidRPr="009D7FD2">
              <w:rPr>
                <w:rFonts w:ascii="Times New Roman" w:hAnsi="Times New Roman"/>
                <w:sz w:val="20"/>
                <w:szCs w:val="20"/>
              </w:rPr>
              <w:t>Având în vedere modificările legislative apărute, ca urmare adoptării OUG nr. 114/2018 privind instituirea unor măsuri în domeniul investiţiilor publice şi a unor măsuri fiscal-bugetare, modificarea şi completarea unor acte normative şi prorogarea unor termene, este necesară ajustarea prețurilor în cadrul devizelor generale aferente contractelor de investiții pentru a putea asigura o implementare adecvată a contractelor de infrastructură finanțate din fonduri europene.</w:t>
            </w:r>
          </w:p>
        </w:tc>
      </w:tr>
      <w:tr w:rsidR="009D7FD2" w:rsidRPr="009D7FD2" w14:paraId="2A020F4B" w14:textId="77777777" w:rsidTr="004D14D9">
        <w:trPr>
          <w:trHeight w:val="849"/>
        </w:trPr>
        <w:tc>
          <w:tcPr>
            <w:tcW w:w="568" w:type="dxa"/>
            <w:vAlign w:val="center"/>
          </w:tcPr>
          <w:p w14:paraId="6AA1F6B9" w14:textId="5D845D54" w:rsidR="004D14D9" w:rsidRPr="009D7FD2" w:rsidRDefault="004D14D9" w:rsidP="007021AF">
            <w:pPr>
              <w:spacing w:after="0" w:line="240" w:lineRule="auto"/>
              <w:jc w:val="center"/>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t>1</w:t>
            </w:r>
            <w:r w:rsidR="007021AF" w:rsidRPr="009D7FD2">
              <w:rPr>
                <w:rFonts w:ascii="Times New Roman" w:hAnsi="Times New Roman"/>
                <w:b/>
                <w:sz w:val="20"/>
                <w:szCs w:val="20"/>
                <w:shd w:val="clear" w:color="auto" w:fill="FFFFFF"/>
              </w:rPr>
              <w:t>2</w:t>
            </w:r>
          </w:p>
        </w:tc>
        <w:tc>
          <w:tcPr>
            <w:tcW w:w="4678" w:type="dxa"/>
          </w:tcPr>
          <w:p w14:paraId="628305B9" w14:textId="77777777" w:rsidR="004D14D9" w:rsidRPr="009D7FD2" w:rsidRDefault="004D14D9" w:rsidP="001969B4">
            <w:pPr>
              <w:spacing w:after="0" w:line="240" w:lineRule="auto"/>
              <w:jc w:val="both"/>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t>Art. 15 alin. (4)</w:t>
            </w:r>
          </w:p>
          <w:p w14:paraId="577F8756" w14:textId="77777777" w:rsidR="004D14D9" w:rsidRPr="009D7FD2" w:rsidRDefault="004D14D9" w:rsidP="001969B4">
            <w:pPr>
              <w:spacing w:after="0" w:line="240" w:lineRule="auto"/>
              <w:jc w:val="both"/>
              <w:rPr>
                <w:rFonts w:ascii="Times New Roman" w:hAnsi="Times New Roman"/>
                <w:b/>
                <w:sz w:val="20"/>
                <w:szCs w:val="20"/>
                <w:shd w:val="clear" w:color="auto" w:fill="FFFFFF"/>
              </w:rPr>
            </w:pPr>
            <w:r w:rsidRPr="009D7FD2">
              <w:rPr>
                <w:rFonts w:ascii="Times New Roman" w:hAnsi="Times New Roman"/>
                <w:sz w:val="20"/>
                <w:szCs w:val="20"/>
                <w:shd w:val="clear" w:color="auto" w:fill="FFFFFF"/>
              </w:rPr>
              <w:t>„(4) Beneficiarul/Liderul de parteneriat care a depus cerere de prefinanţare conform alin. (1) are obligaţia depunerii unei</w:t>
            </w:r>
            <w:r w:rsidRPr="009D7FD2">
              <w:rPr>
                <w:rFonts w:ascii="Times New Roman" w:hAnsi="Times New Roman"/>
                <w:b/>
                <w:sz w:val="20"/>
                <w:szCs w:val="20"/>
                <w:shd w:val="clear" w:color="auto" w:fill="FFFFFF"/>
              </w:rPr>
              <w:t>/unor</w:t>
            </w:r>
            <w:r w:rsidRPr="009D7FD2">
              <w:rPr>
                <w:rFonts w:ascii="Times New Roman" w:hAnsi="Times New Roman"/>
                <w:sz w:val="20"/>
                <w:szCs w:val="20"/>
                <w:shd w:val="clear" w:color="auto" w:fill="FFFFFF"/>
              </w:rPr>
              <w:t xml:space="preserve"> cereri de rambursare care să cuprindă cheltuielile efectuate din tranşa de prefinanţare acordată, în cuantum </w:t>
            </w:r>
            <w:r w:rsidRPr="009D7FD2">
              <w:rPr>
                <w:rFonts w:ascii="Times New Roman" w:hAnsi="Times New Roman"/>
                <w:b/>
                <w:sz w:val="20"/>
                <w:szCs w:val="20"/>
                <w:shd w:val="clear" w:color="auto" w:fill="FFFFFF"/>
              </w:rPr>
              <w:t>cumulat</w:t>
            </w:r>
            <w:r w:rsidRPr="009D7FD2">
              <w:rPr>
                <w:rFonts w:ascii="Times New Roman" w:hAnsi="Times New Roman"/>
                <w:sz w:val="20"/>
                <w:szCs w:val="20"/>
                <w:shd w:val="clear" w:color="auto" w:fill="FFFFFF"/>
              </w:rPr>
              <w:t xml:space="preserve"> de minimum 50% din valoarea acesteia, în termen de maximum 90 de zile calendaristice de la data la care autoritatea de management a virat tranşa de prefinanţare în contul beneficiarului, fără a depăşi durata contractului de finanţare.”</w:t>
            </w:r>
          </w:p>
        </w:tc>
        <w:tc>
          <w:tcPr>
            <w:tcW w:w="3827" w:type="dxa"/>
          </w:tcPr>
          <w:p w14:paraId="5277D51E" w14:textId="77777777" w:rsidR="004D14D9" w:rsidRPr="009D7FD2" w:rsidRDefault="004D14D9" w:rsidP="001969B4">
            <w:pPr>
              <w:spacing w:after="0" w:line="240" w:lineRule="auto"/>
              <w:jc w:val="both"/>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t>Art. 15 alin. (4)</w:t>
            </w:r>
          </w:p>
          <w:p w14:paraId="5A37C8CC" w14:textId="77777777" w:rsidR="004D14D9" w:rsidRPr="009D7FD2" w:rsidRDefault="004D14D9" w:rsidP="001969B4">
            <w:pPr>
              <w:spacing w:after="0" w:line="240" w:lineRule="auto"/>
              <w:jc w:val="both"/>
              <w:rPr>
                <w:rFonts w:ascii="Times New Roman" w:hAnsi="Times New Roman"/>
                <w:sz w:val="20"/>
                <w:szCs w:val="20"/>
                <w:shd w:val="clear" w:color="auto" w:fill="FFFFFF"/>
              </w:rPr>
            </w:pPr>
            <w:r w:rsidRPr="009D7FD2">
              <w:rPr>
                <w:rFonts w:ascii="Times New Roman" w:hAnsi="Times New Roman"/>
                <w:sz w:val="20"/>
                <w:szCs w:val="20"/>
                <w:shd w:val="clear" w:color="auto" w:fill="FFFFFF"/>
              </w:rPr>
              <w:t>„(4) Beneficiarul/Liderul de parteneriat care a depus cerere de prefinanţare conform alin. (1) are obligaţia depunerii unei cereri de rambursare care să cuprindă cheltuielile efectuate din tranşa de prefinanţare acordată, în cuantum de minimum 50% din valoarea acesteia, în termen de maximum 90 de zile calendaristice de la data la care autoritatea de management a virat tranşa de prefinanţare în contul beneficiarului, fără a depăşi durata contractului de finanţare.”</w:t>
            </w:r>
          </w:p>
        </w:tc>
        <w:tc>
          <w:tcPr>
            <w:tcW w:w="6521" w:type="dxa"/>
          </w:tcPr>
          <w:p w14:paraId="291F1F57" w14:textId="77777777" w:rsidR="004D14D9" w:rsidRPr="009D7FD2" w:rsidRDefault="004D14D9" w:rsidP="001969B4">
            <w:pPr>
              <w:spacing w:after="0" w:line="240" w:lineRule="auto"/>
              <w:jc w:val="both"/>
              <w:rPr>
                <w:rFonts w:ascii="Times New Roman" w:hAnsi="Times New Roman"/>
                <w:sz w:val="20"/>
                <w:szCs w:val="20"/>
              </w:rPr>
            </w:pPr>
            <w:r w:rsidRPr="009D7FD2">
              <w:rPr>
                <w:rFonts w:ascii="Times New Roman" w:hAnsi="Times New Roman"/>
                <w:sz w:val="20"/>
                <w:szCs w:val="20"/>
              </w:rPr>
              <w:t>Clarificare. In termenul de 90 de zile calendaristice, b</w:t>
            </w:r>
            <w:r w:rsidRPr="009D7FD2">
              <w:rPr>
                <w:rFonts w:ascii="Times New Roman" w:hAnsi="Times New Roman"/>
                <w:sz w:val="20"/>
                <w:szCs w:val="20"/>
                <w:shd w:val="clear" w:color="auto" w:fill="FFFFFF"/>
              </w:rPr>
              <w:t>eneficiarul/Liderul de parteneriat poate depune una sau mai multe cereri de rambursare care să cuprindă cumulat  cheltuielile efectuate din tranşa de prefinanţare acordată, în cuantum de minimum 50% din valoarea acesteia.</w:t>
            </w:r>
          </w:p>
        </w:tc>
      </w:tr>
      <w:tr w:rsidR="009D7FD2" w:rsidRPr="009D7FD2" w14:paraId="570ED504" w14:textId="77777777" w:rsidTr="004D14D9">
        <w:trPr>
          <w:trHeight w:val="849"/>
        </w:trPr>
        <w:tc>
          <w:tcPr>
            <w:tcW w:w="568" w:type="dxa"/>
            <w:vAlign w:val="center"/>
          </w:tcPr>
          <w:p w14:paraId="2C117D0D" w14:textId="7C7724E6" w:rsidR="004D14D9" w:rsidRPr="009D7FD2" w:rsidRDefault="007021AF" w:rsidP="001969B4">
            <w:pPr>
              <w:spacing w:after="0" w:line="240" w:lineRule="auto"/>
              <w:jc w:val="center"/>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t>13</w:t>
            </w:r>
          </w:p>
        </w:tc>
        <w:tc>
          <w:tcPr>
            <w:tcW w:w="4678" w:type="dxa"/>
          </w:tcPr>
          <w:p w14:paraId="35F7162B" w14:textId="77777777" w:rsidR="004D14D9" w:rsidRPr="009D7FD2" w:rsidRDefault="004D14D9" w:rsidP="001969B4">
            <w:pPr>
              <w:spacing w:after="0" w:line="240" w:lineRule="auto"/>
              <w:jc w:val="both"/>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t>Art. 15 alin. (4^1)</w:t>
            </w:r>
          </w:p>
          <w:p w14:paraId="631A3D2C" w14:textId="77777777" w:rsidR="004D14D9" w:rsidRPr="009D7FD2" w:rsidRDefault="004D14D9" w:rsidP="001969B4">
            <w:pPr>
              <w:spacing w:after="0" w:line="240" w:lineRule="auto"/>
              <w:jc w:val="both"/>
              <w:rPr>
                <w:rFonts w:ascii="Times New Roman" w:hAnsi="Times New Roman"/>
                <w:b/>
                <w:sz w:val="20"/>
                <w:szCs w:val="20"/>
                <w:shd w:val="clear" w:color="auto" w:fill="FFFFFF"/>
              </w:rPr>
            </w:pPr>
            <w:r w:rsidRPr="009D7FD2">
              <w:rPr>
                <w:rFonts w:ascii="Times New Roman" w:hAnsi="Times New Roman"/>
                <w:sz w:val="20"/>
                <w:szCs w:val="20"/>
                <w:shd w:val="clear" w:color="auto" w:fill="FFFFFF"/>
              </w:rPr>
              <w:t>„(4^1) Beneficiarul/Liderul de parteneriat care nu a depus cererea/</w:t>
            </w:r>
            <w:r w:rsidRPr="009D7FD2">
              <w:rPr>
                <w:rFonts w:ascii="Times New Roman" w:hAnsi="Times New Roman"/>
                <w:b/>
                <w:sz w:val="20"/>
                <w:szCs w:val="20"/>
                <w:shd w:val="clear" w:color="auto" w:fill="FFFFFF"/>
              </w:rPr>
              <w:t>cererile</w:t>
            </w:r>
            <w:r w:rsidRPr="009D7FD2">
              <w:rPr>
                <w:rFonts w:ascii="Times New Roman" w:hAnsi="Times New Roman"/>
                <w:sz w:val="20"/>
                <w:szCs w:val="20"/>
                <w:shd w:val="clear" w:color="auto" w:fill="FFFFFF"/>
              </w:rPr>
              <w:t xml:space="preserve"> de rambursare în termenul prevăzut la alin. (4) este obligat să justifice utilizarea prefinanţării, prin cereri de rambursare, înaintea depunerii unei alte cereri de prefinanţare.”</w:t>
            </w:r>
          </w:p>
        </w:tc>
        <w:tc>
          <w:tcPr>
            <w:tcW w:w="3827" w:type="dxa"/>
          </w:tcPr>
          <w:p w14:paraId="00A99AC1" w14:textId="77777777" w:rsidR="004D14D9" w:rsidRPr="009D7FD2" w:rsidRDefault="004D14D9" w:rsidP="001969B4">
            <w:pPr>
              <w:spacing w:after="0" w:line="240" w:lineRule="auto"/>
              <w:jc w:val="both"/>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t>Art. 15 alin. (4^1)</w:t>
            </w:r>
          </w:p>
          <w:p w14:paraId="05A28275" w14:textId="77777777" w:rsidR="004D14D9" w:rsidRPr="009D7FD2" w:rsidRDefault="004D14D9" w:rsidP="001969B4">
            <w:pPr>
              <w:tabs>
                <w:tab w:val="left" w:pos="601"/>
              </w:tabs>
              <w:spacing w:after="0" w:line="240" w:lineRule="auto"/>
              <w:jc w:val="both"/>
              <w:rPr>
                <w:rFonts w:ascii="Times New Roman" w:hAnsi="Times New Roman"/>
                <w:sz w:val="20"/>
                <w:szCs w:val="20"/>
                <w:shd w:val="clear" w:color="auto" w:fill="FFFFFF"/>
              </w:rPr>
            </w:pPr>
            <w:r w:rsidRPr="009D7FD2">
              <w:rPr>
                <w:rFonts w:ascii="Times New Roman" w:hAnsi="Times New Roman"/>
                <w:sz w:val="20"/>
                <w:szCs w:val="20"/>
                <w:shd w:val="clear" w:color="auto" w:fill="FFFFFF"/>
              </w:rPr>
              <w:t>„(4^1) Beneficiarul/Liderul de parteneriat care nu a depus cererea de rambursare în termenul prevăzut la alin. (4) Este obligat să justifice utilizarea prefinanţării, prin cereri de rambursare, înaintea depunerii unei alte cereri de prefinanţare.”</w:t>
            </w:r>
          </w:p>
        </w:tc>
        <w:tc>
          <w:tcPr>
            <w:tcW w:w="6521" w:type="dxa"/>
          </w:tcPr>
          <w:p w14:paraId="467379A7" w14:textId="58800CE3" w:rsidR="004D14D9" w:rsidRPr="009D7FD2" w:rsidRDefault="004D14D9" w:rsidP="00CA032A">
            <w:pPr>
              <w:spacing w:after="0" w:line="240" w:lineRule="auto"/>
              <w:jc w:val="both"/>
              <w:rPr>
                <w:rFonts w:ascii="Times New Roman" w:hAnsi="Times New Roman"/>
                <w:sz w:val="20"/>
                <w:szCs w:val="20"/>
              </w:rPr>
            </w:pPr>
            <w:r w:rsidRPr="009D7FD2">
              <w:rPr>
                <w:rFonts w:ascii="Times New Roman" w:hAnsi="Times New Roman"/>
                <w:sz w:val="20"/>
                <w:szCs w:val="20"/>
              </w:rPr>
              <w:t xml:space="preserve">Corelare cu punctul </w:t>
            </w:r>
            <w:r w:rsidR="00CA032A" w:rsidRPr="009D7FD2">
              <w:rPr>
                <w:rFonts w:ascii="Times New Roman" w:hAnsi="Times New Roman"/>
                <w:sz w:val="20"/>
                <w:szCs w:val="20"/>
              </w:rPr>
              <w:t>12</w:t>
            </w:r>
          </w:p>
        </w:tc>
      </w:tr>
      <w:tr w:rsidR="009D7FD2" w:rsidRPr="009D7FD2" w14:paraId="2A265B21" w14:textId="77777777" w:rsidTr="004D14D9">
        <w:trPr>
          <w:trHeight w:val="567"/>
        </w:trPr>
        <w:tc>
          <w:tcPr>
            <w:tcW w:w="568" w:type="dxa"/>
            <w:vAlign w:val="center"/>
          </w:tcPr>
          <w:p w14:paraId="6F0ED0C5" w14:textId="46F727E8" w:rsidR="004D14D9" w:rsidRPr="009D7FD2" w:rsidRDefault="007021AF" w:rsidP="001969B4">
            <w:pPr>
              <w:spacing w:after="0" w:line="240" w:lineRule="auto"/>
              <w:jc w:val="center"/>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t>14</w:t>
            </w:r>
          </w:p>
        </w:tc>
        <w:tc>
          <w:tcPr>
            <w:tcW w:w="4678" w:type="dxa"/>
          </w:tcPr>
          <w:p w14:paraId="266BF900" w14:textId="77777777" w:rsidR="004D14D9" w:rsidRPr="009D7FD2" w:rsidRDefault="004D14D9" w:rsidP="001969B4">
            <w:pPr>
              <w:spacing w:after="0" w:line="240" w:lineRule="auto"/>
              <w:jc w:val="both"/>
              <w:rPr>
                <w:rFonts w:ascii="Times New Roman" w:hAnsi="Times New Roman"/>
                <w:b/>
                <w:sz w:val="20"/>
                <w:szCs w:val="20"/>
                <w:shd w:val="clear" w:color="auto" w:fill="FFFFFF"/>
                <w:vertAlign w:val="superscript"/>
              </w:rPr>
            </w:pPr>
            <w:r w:rsidRPr="009D7FD2">
              <w:rPr>
                <w:rFonts w:ascii="Times New Roman" w:hAnsi="Times New Roman"/>
                <w:b/>
                <w:sz w:val="20"/>
                <w:szCs w:val="20"/>
                <w:shd w:val="clear" w:color="auto" w:fill="FFFFFF"/>
              </w:rPr>
              <w:t>Art. 15</w:t>
            </w:r>
            <w:r w:rsidRPr="009D7FD2">
              <w:rPr>
                <w:rFonts w:ascii="Times New Roman" w:hAnsi="Times New Roman"/>
                <w:b/>
                <w:sz w:val="20"/>
                <w:szCs w:val="20"/>
                <w:shd w:val="clear" w:color="auto" w:fill="FFFFFF"/>
                <w:vertAlign w:val="superscript"/>
              </w:rPr>
              <w:t>2</w:t>
            </w:r>
          </w:p>
          <w:p w14:paraId="173C29FA" w14:textId="77777777" w:rsidR="004D14D9" w:rsidRPr="009D7FD2" w:rsidRDefault="004D14D9" w:rsidP="001969B4">
            <w:pPr>
              <w:spacing w:after="0" w:line="240" w:lineRule="auto"/>
              <w:jc w:val="both"/>
              <w:rPr>
                <w:rFonts w:ascii="Times New Roman" w:hAnsi="Times New Roman"/>
                <w:b/>
                <w:sz w:val="20"/>
                <w:szCs w:val="20"/>
              </w:rPr>
            </w:pPr>
            <w:r w:rsidRPr="009D7FD2">
              <w:rPr>
                <w:rFonts w:ascii="Times New Roman" w:hAnsi="Times New Roman"/>
                <w:b/>
                <w:sz w:val="20"/>
                <w:szCs w:val="20"/>
              </w:rPr>
              <w:t>(1) Prin excepție de la art. 15 și art. 15</w:t>
            </w:r>
            <w:r w:rsidRPr="009D7FD2">
              <w:rPr>
                <w:rFonts w:ascii="Times New Roman" w:hAnsi="Times New Roman"/>
                <w:b/>
                <w:sz w:val="20"/>
                <w:szCs w:val="20"/>
                <w:vertAlign w:val="superscript"/>
              </w:rPr>
              <w:t>1</w:t>
            </w:r>
            <w:r w:rsidRPr="009D7FD2">
              <w:rPr>
                <w:rFonts w:ascii="Times New Roman" w:hAnsi="Times New Roman"/>
                <w:b/>
                <w:sz w:val="20"/>
                <w:szCs w:val="20"/>
              </w:rPr>
              <w:t xml:space="preserve">, în cazul </w:t>
            </w:r>
            <w:r w:rsidRPr="009D7FD2">
              <w:rPr>
                <w:rFonts w:ascii="Times New Roman" w:hAnsi="Times New Roman"/>
                <w:b/>
                <w:sz w:val="20"/>
                <w:szCs w:val="20"/>
              </w:rPr>
              <w:lastRenderedPageBreak/>
              <w:t>proiectelor finanțate din Programul Operațional Capital Uman, pentru cheltuielile salariale, cheltuielile aferente subvenţiilor (cu exceptia acelora care se afla sub incidenta schemelor de ajutor de stat/minimis), burselor, premiilor, onorariilor aferente activităţilor independente desfăşurate în conformitate cu legislaţia în vigoare şi cheltuielile cu deplasările, se acordă beneficiarilor/liderilor de parteneriat/partenerilor, alţii decât cei prevăzuţi la art. 6 alin. (1)-(4) şi (6), în tranşe, o prefinanţare care reprezintă contravaloarea acestor cheltuieli calculată pentru o perioadă de maximum 3 luni, la solicitarea acestora.</w:t>
            </w:r>
          </w:p>
          <w:p w14:paraId="7A231F67" w14:textId="77777777" w:rsidR="004D14D9" w:rsidRPr="009D7FD2" w:rsidRDefault="004D14D9" w:rsidP="001969B4">
            <w:pPr>
              <w:spacing w:after="0" w:line="240" w:lineRule="auto"/>
              <w:jc w:val="both"/>
              <w:rPr>
                <w:rFonts w:ascii="Times New Roman" w:hAnsi="Times New Roman"/>
                <w:b/>
                <w:sz w:val="20"/>
                <w:szCs w:val="20"/>
              </w:rPr>
            </w:pPr>
            <w:r w:rsidRPr="009D7FD2">
              <w:rPr>
                <w:rFonts w:ascii="Times New Roman" w:hAnsi="Times New Roman"/>
                <w:b/>
                <w:sz w:val="20"/>
                <w:szCs w:val="20"/>
              </w:rPr>
              <w:t>(2)Pentru proiectele implementate în parteneriat, liderul de parteneriat depune cererea de prefinanţare, iar autoritatea de management virează valoarea cheltuielilor solicitate în conturile liderului de parteneriat/partenerilor care urmează să le utilizeze, conform contractului/ordinului/deciziei de finanţare şi prevederilor acordului de parteneriat, parte integrantă a acestuia/acesteia.</w:t>
            </w:r>
          </w:p>
          <w:p w14:paraId="3078AC7A" w14:textId="77777777" w:rsidR="004D14D9" w:rsidRPr="009D7FD2" w:rsidRDefault="004D14D9" w:rsidP="001969B4">
            <w:pPr>
              <w:spacing w:after="0" w:line="240" w:lineRule="auto"/>
              <w:jc w:val="both"/>
              <w:rPr>
                <w:rFonts w:ascii="Times New Roman" w:hAnsi="Times New Roman"/>
                <w:b/>
                <w:sz w:val="20"/>
                <w:szCs w:val="20"/>
              </w:rPr>
            </w:pPr>
            <w:r w:rsidRPr="009D7FD2">
              <w:rPr>
                <w:rFonts w:ascii="Times New Roman" w:hAnsi="Times New Roman"/>
                <w:b/>
                <w:sz w:val="20"/>
                <w:szCs w:val="20"/>
              </w:rPr>
              <w:t>(3) Cu excepţia primei tranşe de prefinanţare acordate conform alin. (1), următoarele tranşe de prefinanţare se acordă cu deducerea sumelor necheltuite din tranşa anterior acordată. În situaţia în care autoritatea de management constată erori grave în modul de justificare al prefinanţării, aferent tranşei/tranşelor anterioare, aceasta poate sista acordarea următoarelor tranşe de prefinanţare.</w:t>
            </w:r>
          </w:p>
          <w:p w14:paraId="74AD1FE6" w14:textId="2B6DE778" w:rsidR="00CA5B97" w:rsidRPr="009D7FD2" w:rsidRDefault="004D14D9" w:rsidP="00CA5B97">
            <w:pPr>
              <w:spacing w:after="0" w:line="240" w:lineRule="auto"/>
              <w:jc w:val="both"/>
              <w:rPr>
                <w:rFonts w:ascii="Times New Roman" w:hAnsi="Times New Roman"/>
                <w:b/>
                <w:sz w:val="20"/>
                <w:szCs w:val="20"/>
              </w:rPr>
            </w:pPr>
            <w:r w:rsidRPr="009D7FD2">
              <w:rPr>
                <w:rFonts w:ascii="Times New Roman" w:hAnsi="Times New Roman"/>
                <w:b/>
                <w:sz w:val="20"/>
                <w:szCs w:val="20"/>
              </w:rPr>
              <w:t xml:space="preserve">(4) </w:t>
            </w:r>
            <w:r w:rsidR="00CA5B97" w:rsidRPr="009D7FD2">
              <w:rPr>
                <w:rFonts w:ascii="Times New Roman" w:hAnsi="Times New Roman"/>
                <w:b/>
                <w:sz w:val="20"/>
                <w:szCs w:val="20"/>
              </w:rPr>
              <w:t>B</w:t>
            </w:r>
            <w:r w:rsidRPr="009D7FD2">
              <w:rPr>
                <w:rFonts w:ascii="Times New Roman" w:hAnsi="Times New Roman"/>
                <w:b/>
                <w:sz w:val="20"/>
                <w:szCs w:val="20"/>
              </w:rPr>
              <w:t>eneficiarul/liderul de parteneriat care a depus cerere de prefinanţare are obligaţia depunerii, în termen de maximum 10 zile calendaristice de la expirarea perioadei pentru care a fost acordată tranşa de prefinanţare, fără a depăşi durata contractului de finanţare, a unei cereri de rambursare care să cuprindă toate cheltuielile efectuate, pentru care s-a acordat prefinanţarea.</w:t>
            </w:r>
          </w:p>
          <w:p w14:paraId="207D9A1E" w14:textId="343AFC56" w:rsidR="004D14D9" w:rsidRPr="009D7FD2" w:rsidRDefault="00CA5B97" w:rsidP="000E7D13">
            <w:pPr>
              <w:tabs>
                <w:tab w:val="left" w:pos="0"/>
                <w:tab w:val="left" w:pos="426"/>
              </w:tabs>
              <w:spacing w:before="120" w:after="120"/>
              <w:jc w:val="both"/>
              <w:rPr>
                <w:rFonts w:ascii="Times New Roman" w:hAnsi="Times New Roman"/>
                <w:b/>
                <w:sz w:val="20"/>
                <w:szCs w:val="20"/>
                <w:shd w:val="clear" w:color="auto" w:fill="FFFFFF"/>
              </w:rPr>
            </w:pPr>
            <w:r w:rsidRPr="009D7FD2">
              <w:rPr>
                <w:rFonts w:ascii="Times New Roman" w:hAnsi="Times New Roman"/>
                <w:sz w:val="24"/>
                <w:szCs w:val="24"/>
              </w:rPr>
              <w:lastRenderedPageBreak/>
              <w:t>(</w:t>
            </w:r>
            <w:r w:rsidRPr="009D7FD2">
              <w:rPr>
                <w:rFonts w:ascii="Times New Roman" w:hAnsi="Times New Roman"/>
                <w:b/>
                <w:sz w:val="20"/>
                <w:szCs w:val="20"/>
              </w:rPr>
              <w:t xml:space="preserve">5) În cazul în care sumele prevăzute la alin. (1) au fost justificate printr-o cerere de rambursare </w:t>
            </w:r>
            <w:r w:rsidRPr="009D7FD2">
              <w:rPr>
                <w:rFonts w:ascii="Times New Roman" w:hAnsi="Times New Roman"/>
                <w:b/>
                <w:sz w:val="20"/>
                <w:szCs w:val="20"/>
                <w:highlight w:val="yellow"/>
              </w:rPr>
              <w:t>conform alin. (4),</w:t>
            </w:r>
            <w:r w:rsidRPr="009D7FD2">
              <w:rPr>
                <w:rFonts w:ascii="Times New Roman" w:hAnsi="Times New Roman"/>
                <w:b/>
                <w:sz w:val="20"/>
                <w:szCs w:val="20"/>
              </w:rPr>
              <w:t xml:space="preserve"> beneficiarul/liderul de parteneriat poate solicita o nouă tranșă de prefinanțare”</w:t>
            </w:r>
          </w:p>
        </w:tc>
        <w:tc>
          <w:tcPr>
            <w:tcW w:w="3827" w:type="dxa"/>
          </w:tcPr>
          <w:p w14:paraId="0D8E238E" w14:textId="77777777" w:rsidR="004D14D9" w:rsidRPr="009D7FD2" w:rsidRDefault="004D14D9" w:rsidP="001969B4">
            <w:pPr>
              <w:spacing w:after="0" w:line="240" w:lineRule="auto"/>
              <w:jc w:val="center"/>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lastRenderedPageBreak/>
              <w:t>-</w:t>
            </w:r>
          </w:p>
        </w:tc>
        <w:tc>
          <w:tcPr>
            <w:tcW w:w="6521" w:type="dxa"/>
          </w:tcPr>
          <w:p w14:paraId="20F6A9F9" w14:textId="77777777" w:rsidR="004D14D9" w:rsidRPr="009D7FD2" w:rsidRDefault="004D14D9" w:rsidP="001969B4">
            <w:pPr>
              <w:spacing w:after="0" w:line="240" w:lineRule="auto"/>
              <w:ind w:left="-108"/>
              <w:jc w:val="both"/>
              <w:rPr>
                <w:rFonts w:ascii="Times New Roman" w:hAnsi="Times New Roman"/>
                <w:b/>
                <w:sz w:val="20"/>
                <w:szCs w:val="20"/>
                <w:shd w:val="clear" w:color="auto" w:fill="FFFFFF"/>
              </w:rPr>
            </w:pPr>
            <w:r w:rsidRPr="009D7FD2">
              <w:rPr>
                <w:rFonts w:ascii="Times New Roman" w:hAnsi="Times New Roman"/>
                <w:b/>
                <w:sz w:val="20"/>
                <w:szCs w:val="20"/>
              </w:rPr>
              <w:t xml:space="preserve">Reglementarea mecanismului alternativ de prefinanțare aferent </w:t>
            </w:r>
            <w:r w:rsidRPr="009D7FD2">
              <w:rPr>
                <w:rFonts w:ascii="Times New Roman" w:hAnsi="Times New Roman"/>
                <w:b/>
                <w:sz w:val="20"/>
                <w:szCs w:val="20"/>
                <w:shd w:val="clear" w:color="auto" w:fill="FFFFFF"/>
              </w:rPr>
              <w:t xml:space="preserve">Programului Operațional Capital Uman. </w:t>
            </w:r>
          </w:p>
          <w:p w14:paraId="31E36F74" w14:textId="77777777" w:rsidR="004D14D9" w:rsidRPr="009D7FD2" w:rsidRDefault="004D14D9" w:rsidP="001969B4">
            <w:pPr>
              <w:spacing w:after="0" w:line="240" w:lineRule="auto"/>
              <w:ind w:left="-108"/>
              <w:jc w:val="both"/>
              <w:rPr>
                <w:rFonts w:ascii="Times New Roman" w:hAnsi="Times New Roman"/>
                <w:sz w:val="20"/>
                <w:szCs w:val="20"/>
              </w:rPr>
            </w:pPr>
            <w:r w:rsidRPr="009D7FD2">
              <w:rPr>
                <w:rFonts w:ascii="Times New Roman" w:hAnsi="Times New Roman"/>
                <w:sz w:val="20"/>
                <w:szCs w:val="20"/>
              </w:rPr>
              <w:lastRenderedPageBreak/>
              <w:t>Mecanismul actual de acordare si recuperare al prefinantarii este unul greoi si nu este potrivit specificului implementării POCU, generând blocaje artificiale în implementare. Predispuse la blocaje sunt proiectele implementate in parteneriate încheiate intre instituții publice și entități private, datorită ritmului și vitezei de implementare diferite. Principalele dezavantaje:</w:t>
            </w:r>
          </w:p>
          <w:p w14:paraId="7D377F3E" w14:textId="77777777" w:rsidR="004D14D9" w:rsidRPr="009D7FD2" w:rsidRDefault="004D14D9" w:rsidP="001969B4">
            <w:pPr>
              <w:spacing w:after="0" w:line="240" w:lineRule="auto"/>
              <w:ind w:left="-108"/>
              <w:jc w:val="both"/>
              <w:rPr>
                <w:rFonts w:ascii="Times New Roman" w:hAnsi="Times New Roman"/>
                <w:sz w:val="20"/>
                <w:szCs w:val="20"/>
              </w:rPr>
            </w:pPr>
            <w:r w:rsidRPr="009D7FD2">
              <w:rPr>
                <w:rFonts w:ascii="Times New Roman" w:hAnsi="Times New Roman"/>
                <w:sz w:val="20"/>
                <w:szCs w:val="20"/>
              </w:rPr>
              <w:t>- modalitate greoaie pentru beneficiari si AM de a urmări recuperarea prefinantarii și a planifica solicitarea următoarei tranșe de prefinanțare</w:t>
            </w:r>
          </w:p>
          <w:p w14:paraId="55196003" w14:textId="77777777" w:rsidR="004D14D9" w:rsidRPr="009D7FD2" w:rsidRDefault="004D14D9" w:rsidP="001969B4">
            <w:pPr>
              <w:spacing w:after="0" w:line="240" w:lineRule="auto"/>
              <w:ind w:left="-108"/>
              <w:jc w:val="both"/>
              <w:rPr>
                <w:rFonts w:ascii="Times New Roman" w:hAnsi="Times New Roman"/>
                <w:sz w:val="20"/>
                <w:szCs w:val="20"/>
              </w:rPr>
            </w:pPr>
            <w:r w:rsidRPr="009D7FD2">
              <w:rPr>
                <w:rFonts w:ascii="Times New Roman" w:hAnsi="Times New Roman"/>
                <w:sz w:val="20"/>
                <w:szCs w:val="20"/>
              </w:rPr>
              <w:t>- datorita ritmului de implementare diferit, liderul de parteneriat este nevoit sa întocmească și să depună multiple cereri de rambursare prin care să justifice utilizarea prefinanțării pentru fiecare beneficiar. Se creează o incarnare administrativă suplimentară la nivelul beneficiarului precum și la nivelul OIR/AM</w:t>
            </w:r>
          </w:p>
          <w:p w14:paraId="498541E9" w14:textId="77777777" w:rsidR="004D14D9" w:rsidRPr="009D7FD2" w:rsidRDefault="004D14D9" w:rsidP="001969B4">
            <w:pPr>
              <w:spacing w:after="0" w:line="240" w:lineRule="auto"/>
              <w:ind w:left="-108"/>
              <w:jc w:val="both"/>
              <w:rPr>
                <w:rFonts w:ascii="Times New Roman" w:hAnsi="Times New Roman"/>
                <w:sz w:val="20"/>
                <w:szCs w:val="20"/>
              </w:rPr>
            </w:pPr>
            <w:r w:rsidRPr="009D7FD2">
              <w:rPr>
                <w:rFonts w:ascii="Times New Roman" w:hAnsi="Times New Roman"/>
                <w:sz w:val="20"/>
                <w:szCs w:val="20"/>
              </w:rPr>
              <w:t xml:space="preserve">- următoarea tranșă de prefinanțare nu poate fi acordata decât după </w:t>
            </w:r>
            <w:r w:rsidRPr="009D7FD2">
              <w:rPr>
                <w:rFonts w:ascii="Times New Roman" w:hAnsi="Times New Roman"/>
                <w:b/>
                <w:sz w:val="20"/>
                <w:szCs w:val="20"/>
              </w:rPr>
              <w:t xml:space="preserve">autorizarea </w:t>
            </w:r>
            <w:r w:rsidRPr="009D7FD2">
              <w:rPr>
                <w:rFonts w:ascii="Times New Roman" w:hAnsi="Times New Roman"/>
                <w:sz w:val="20"/>
                <w:szCs w:val="20"/>
              </w:rPr>
              <w:t>de către AM a sumelor cheltuite de către Beneficiar.</w:t>
            </w:r>
          </w:p>
          <w:p w14:paraId="183E53ED" w14:textId="77777777" w:rsidR="004D14D9" w:rsidRPr="009D7FD2" w:rsidRDefault="004D14D9" w:rsidP="001969B4">
            <w:pPr>
              <w:spacing w:after="0" w:line="240" w:lineRule="auto"/>
              <w:ind w:left="-108"/>
              <w:jc w:val="both"/>
              <w:rPr>
                <w:rFonts w:ascii="Times New Roman" w:hAnsi="Times New Roman"/>
                <w:sz w:val="20"/>
                <w:szCs w:val="20"/>
              </w:rPr>
            </w:pPr>
            <w:r w:rsidRPr="009D7FD2">
              <w:rPr>
                <w:rFonts w:ascii="Times New Roman" w:hAnsi="Times New Roman"/>
                <w:sz w:val="20"/>
                <w:szCs w:val="20"/>
              </w:rPr>
              <w:t>- încărcarea la nivelul AM/OIR în legătura cu modul de urmărire a recuperării prefinanțării. In prezent, AMPOCU acordă și recuperează prefinanțarea la nivelul fiecărei entități din cadrul parteneriatului, în condițiile în care sunt peste 1200 de contracte de finanțare în implementare și peste 3000 de entități care beneficiază de prefinanțare.</w:t>
            </w:r>
          </w:p>
        </w:tc>
      </w:tr>
      <w:tr w:rsidR="009D7FD2" w:rsidRPr="009D7FD2" w14:paraId="3BADE06F" w14:textId="77777777" w:rsidTr="004D14D9">
        <w:trPr>
          <w:trHeight w:val="284"/>
        </w:trPr>
        <w:tc>
          <w:tcPr>
            <w:tcW w:w="568" w:type="dxa"/>
            <w:vAlign w:val="center"/>
          </w:tcPr>
          <w:p w14:paraId="1C82C507" w14:textId="5773875F" w:rsidR="004D14D9" w:rsidRPr="009D7FD2" w:rsidRDefault="004D14D9" w:rsidP="007021AF">
            <w:pPr>
              <w:spacing w:after="0" w:line="240" w:lineRule="auto"/>
              <w:jc w:val="center"/>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lastRenderedPageBreak/>
              <w:t>1</w:t>
            </w:r>
            <w:r w:rsidR="007021AF" w:rsidRPr="009D7FD2">
              <w:rPr>
                <w:rFonts w:ascii="Times New Roman" w:hAnsi="Times New Roman"/>
                <w:b/>
                <w:sz w:val="20"/>
                <w:szCs w:val="20"/>
                <w:shd w:val="clear" w:color="auto" w:fill="FFFFFF"/>
              </w:rPr>
              <w:t>5</w:t>
            </w:r>
          </w:p>
        </w:tc>
        <w:tc>
          <w:tcPr>
            <w:tcW w:w="4678" w:type="dxa"/>
          </w:tcPr>
          <w:p w14:paraId="5FCD4E52" w14:textId="77777777" w:rsidR="004D14D9" w:rsidRPr="009D7FD2" w:rsidRDefault="004D14D9" w:rsidP="001969B4">
            <w:pPr>
              <w:spacing w:after="0" w:line="240" w:lineRule="auto"/>
              <w:jc w:val="both"/>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t>Art. 18</w:t>
            </w:r>
            <w:r w:rsidRPr="009D7FD2">
              <w:rPr>
                <w:rFonts w:ascii="Times New Roman" w:hAnsi="Times New Roman"/>
                <w:b/>
                <w:sz w:val="20"/>
                <w:szCs w:val="20"/>
                <w:shd w:val="clear" w:color="auto" w:fill="FFFFFF"/>
                <w:vertAlign w:val="superscript"/>
              </w:rPr>
              <w:t>1</w:t>
            </w:r>
          </w:p>
          <w:p w14:paraId="62428324" w14:textId="098BBDAE" w:rsidR="004D14D9" w:rsidRPr="009D7FD2" w:rsidRDefault="004D14D9" w:rsidP="001969B4">
            <w:pPr>
              <w:pStyle w:val="NormalWeb"/>
              <w:spacing w:before="0" w:beforeAutospacing="0" w:after="0" w:afterAutospacing="0"/>
              <w:jc w:val="both"/>
              <w:rPr>
                <w:b/>
                <w:sz w:val="20"/>
                <w:szCs w:val="20"/>
                <w:shd w:val="clear" w:color="auto" w:fill="FFFFFF"/>
              </w:rPr>
            </w:pPr>
            <w:r w:rsidRPr="009D7FD2">
              <w:rPr>
                <w:rFonts w:eastAsia="Calibri"/>
                <w:b/>
                <w:sz w:val="20"/>
                <w:szCs w:val="20"/>
                <w:shd w:val="clear" w:color="auto" w:fill="FFFFFF"/>
                <w:lang w:eastAsia="en-US"/>
              </w:rPr>
              <w:t>”Art.18</w:t>
            </w:r>
            <w:r w:rsidRPr="009D7FD2">
              <w:rPr>
                <w:rFonts w:eastAsia="Calibri"/>
                <w:b/>
                <w:sz w:val="20"/>
                <w:szCs w:val="20"/>
                <w:shd w:val="clear" w:color="auto" w:fill="FFFFFF"/>
                <w:vertAlign w:val="superscript"/>
                <w:lang w:eastAsia="en-US"/>
              </w:rPr>
              <w:t>1</w:t>
            </w:r>
            <w:r w:rsidRPr="009D7FD2">
              <w:rPr>
                <w:rFonts w:eastAsia="Calibri"/>
                <w:b/>
                <w:sz w:val="20"/>
                <w:szCs w:val="20"/>
                <w:shd w:val="clear" w:color="auto" w:fill="FFFFFF"/>
                <w:lang w:eastAsia="en-US"/>
              </w:rPr>
              <w:t>– (1) Pentru proiectele aprobate la finanțare cu o rată forfetară în temeiul conform art. 61 alineatul (3) lit. aa) din Regulamentul (UE) nr. 1303/2013, cu modificările și completările ulterioare, autoritatea de management asigură finanțarea acesteia din fonduri alocate de la bugetul de stat cu această destinație.</w:t>
            </w:r>
          </w:p>
          <w:p w14:paraId="674034D4" w14:textId="77777777" w:rsidR="007021AF" w:rsidRPr="009D7FD2" w:rsidRDefault="007021AF" w:rsidP="007021AF">
            <w:pPr>
              <w:pStyle w:val="NormalWeb"/>
              <w:spacing w:before="120" w:beforeAutospacing="0" w:after="120" w:afterAutospacing="0"/>
              <w:jc w:val="both"/>
              <w:rPr>
                <w:rFonts w:eastAsia="Calibri"/>
                <w:sz w:val="20"/>
                <w:szCs w:val="20"/>
                <w:shd w:val="clear" w:color="auto" w:fill="FFFFFF"/>
              </w:rPr>
            </w:pPr>
            <w:r w:rsidRPr="009D7FD2">
              <w:rPr>
                <w:sz w:val="20"/>
                <w:szCs w:val="20"/>
                <w:shd w:val="clear" w:color="auto" w:fill="FFFFFF"/>
              </w:rPr>
              <w:t>(2) Pentru a asigura finanțarea ratei forfetare destinate proiectelor de infrastructură din domeniul apei și a apei uzate Statul Român prin Ministerul Finanțelor Publice poate contracta împrumuturi financiare cu Instituțiile Financiare Internaționale în condițiile prevăzute de lege și cu încadrarea în regulile privind datoria publică;</w:t>
            </w:r>
          </w:p>
          <w:p w14:paraId="2CADF6BD" w14:textId="77777777" w:rsidR="004D14D9" w:rsidRPr="009D7FD2" w:rsidRDefault="004D14D9" w:rsidP="001969B4">
            <w:pPr>
              <w:pStyle w:val="NormalWeb"/>
              <w:spacing w:before="0" w:beforeAutospacing="0" w:after="0" w:afterAutospacing="0"/>
              <w:jc w:val="both"/>
              <w:rPr>
                <w:rFonts w:eastAsia="Calibri"/>
                <w:b/>
                <w:sz w:val="20"/>
                <w:szCs w:val="20"/>
                <w:shd w:val="clear" w:color="auto" w:fill="FFFFFF"/>
                <w:lang w:eastAsia="en-US"/>
              </w:rPr>
            </w:pPr>
            <w:r w:rsidRPr="009D7FD2">
              <w:rPr>
                <w:rFonts w:eastAsia="Calibri"/>
                <w:b/>
                <w:sz w:val="20"/>
                <w:szCs w:val="20"/>
                <w:shd w:val="clear" w:color="auto" w:fill="FFFFFF"/>
                <w:lang w:eastAsia="en-US"/>
              </w:rPr>
              <w:t>(2) Acordarea ratei forfetare potrivit alin. (1) pentru proiectele care adoptă acest mecanism se efectuează după implementarea a 75% din proiect.</w:t>
            </w:r>
          </w:p>
          <w:p w14:paraId="28DF7166" w14:textId="3BDE277C" w:rsidR="004D14D9" w:rsidRPr="009D7FD2" w:rsidRDefault="007021AF" w:rsidP="001969B4">
            <w:pPr>
              <w:pStyle w:val="NormalWeb"/>
              <w:spacing w:before="0" w:beforeAutospacing="0" w:after="0" w:afterAutospacing="0"/>
              <w:jc w:val="both"/>
              <w:rPr>
                <w:b/>
                <w:sz w:val="20"/>
                <w:szCs w:val="20"/>
                <w:shd w:val="clear" w:color="auto" w:fill="FFFFFF"/>
              </w:rPr>
            </w:pPr>
            <w:r w:rsidRPr="009D7FD2">
              <w:rPr>
                <w:rFonts w:eastAsia="Calibri"/>
                <w:b/>
                <w:sz w:val="20"/>
                <w:szCs w:val="20"/>
                <w:shd w:val="clear" w:color="auto" w:fill="FFFFFF"/>
                <w:lang w:eastAsia="en-US"/>
              </w:rPr>
              <w:t>(4</w:t>
            </w:r>
            <w:r w:rsidR="004D14D9" w:rsidRPr="009D7FD2">
              <w:rPr>
                <w:rFonts w:eastAsia="Calibri"/>
                <w:b/>
                <w:sz w:val="20"/>
                <w:szCs w:val="20"/>
                <w:shd w:val="clear" w:color="auto" w:fill="FFFFFF"/>
                <w:lang w:eastAsia="en-US"/>
              </w:rPr>
              <w:t xml:space="preserve">) </w:t>
            </w:r>
            <w:r w:rsidRPr="009D7FD2">
              <w:rPr>
                <w:rFonts w:eastAsia="Calibri"/>
                <w:sz w:val="20"/>
                <w:szCs w:val="20"/>
                <w:shd w:val="clear" w:color="auto" w:fill="FFFFFF"/>
              </w:rPr>
              <w:t>Mecanismul de acordare și de justificare/recuperare a ratei forfetare acordată potrivit alin. (1) se stabilește prin normele de aplicare ținând cont de capacitatea financiară de rambursare a datoriilor de către operatorii de apă și apă uzată</w:t>
            </w:r>
            <w:r w:rsidR="004D14D9" w:rsidRPr="009D7FD2">
              <w:rPr>
                <w:rFonts w:eastAsia="Calibri"/>
                <w:b/>
                <w:sz w:val="20"/>
                <w:szCs w:val="20"/>
                <w:shd w:val="clear" w:color="auto" w:fill="FFFFFF"/>
                <w:lang w:eastAsia="en-US"/>
              </w:rPr>
              <w:t>.”</w:t>
            </w:r>
          </w:p>
        </w:tc>
        <w:tc>
          <w:tcPr>
            <w:tcW w:w="3827" w:type="dxa"/>
            <w:vAlign w:val="center"/>
          </w:tcPr>
          <w:p w14:paraId="1F0E2D80" w14:textId="77777777" w:rsidR="004D14D9" w:rsidRPr="009D7FD2" w:rsidRDefault="004D14D9" w:rsidP="001969B4">
            <w:pPr>
              <w:spacing w:after="0" w:line="240" w:lineRule="auto"/>
              <w:jc w:val="center"/>
              <w:rPr>
                <w:rFonts w:ascii="Times New Roman" w:hAnsi="Times New Roman"/>
                <w:sz w:val="20"/>
                <w:szCs w:val="20"/>
                <w:shd w:val="clear" w:color="auto" w:fill="FFFFFF"/>
              </w:rPr>
            </w:pPr>
            <w:r w:rsidRPr="009D7FD2">
              <w:rPr>
                <w:rFonts w:ascii="Times New Roman" w:hAnsi="Times New Roman"/>
                <w:sz w:val="20"/>
                <w:szCs w:val="20"/>
                <w:shd w:val="clear" w:color="auto" w:fill="FFFFFF"/>
              </w:rPr>
              <w:t>-</w:t>
            </w:r>
          </w:p>
        </w:tc>
        <w:tc>
          <w:tcPr>
            <w:tcW w:w="6521" w:type="dxa"/>
          </w:tcPr>
          <w:p w14:paraId="7DF43A00" w14:textId="77777777" w:rsidR="004D14D9" w:rsidRPr="009D7FD2" w:rsidRDefault="004D14D9" w:rsidP="001969B4">
            <w:pPr>
              <w:tabs>
                <w:tab w:val="left" w:pos="0"/>
              </w:tabs>
              <w:spacing w:after="0" w:line="240" w:lineRule="auto"/>
              <w:ind w:left="-108"/>
              <w:jc w:val="both"/>
              <w:rPr>
                <w:rFonts w:ascii="Times New Roman" w:hAnsi="Times New Roman"/>
                <w:sz w:val="20"/>
                <w:szCs w:val="20"/>
              </w:rPr>
            </w:pPr>
            <w:r w:rsidRPr="009D7FD2">
              <w:rPr>
                <w:rFonts w:ascii="Times New Roman" w:hAnsi="Times New Roman"/>
                <w:sz w:val="20"/>
                <w:szCs w:val="20"/>
              </w:rPr>
              <w:t>Pentru a urgenta aprobarea proiectelor și demararea investițiilor, Ministerul Fondurilor Europene (MFE) a agreat împreuna cu serviciile Comisiei Europene determinarea nivelului de cofinanțare a UE pentru proiectele generatoare de venit din sectorul de apă și apă uzată prin aplicarea unei rate forfetare din veniturile nete, în conformitate cu conform art. 61 alineatul (3) lit. aa) din Regulamentul (UE) nr. 1303/2013, cu modificările și completările ulterioare.</w:t>
            </w:r>
          </w:p>
          <w:p w14:paraId="1D61FC2D" w14:textId="77777777" w:rsidR="004D14D9" w:rsidRPr="009D7FD2" w:rsidRDefault="004D14D9" w:rsidP="001969B4">
            <w:pPr>
              <w:tabs>
                <w:tab w:val="left" w:pos="0"/>
              </w:tabs>
              <w:spacing w:after="0" w:line="240" w:lineRule="auto"/>
              <w:ind w:left="-108"/>
              <w:jc w:val="both"/>
              <w:rPr>
                <w:rFonts w:ascii="Times New Roman" w:hAnsi="Times New Roman"/>
                <w:sz w:val="20"/>
                <w:szCs w:val="20"/>
              </w:rPr>
            </w:pPr>
            <w:r w:rsidRPr="009D7FD2">
              <w:rPr>
                <w:rFonts w:ascii="Times New Roman" w:hAnsi="Times New Roman"/>
                <w:sz w:val="20"/>
                <w:szCs w:val="20"/>
              </w:rPr>
              <w:t>Ca urmare a analizei evoluțiilor din sector, a gradului de suportabilitate a populației, a nivelului de îndatorare aferent investițiilor realizate sau în curs de realizare, a fost propusă o rata forfetară de 6% din totalul costurilor eligibile. Metodologia care fundamentează stabilirea acestei rate forfetare a fost aprobată de Autoritatea de Audit și a fost transmisă Comisiei Europene, conform cerințelor din Regulamentul (UE) nr. 1303/2013.</w:t>
            </w:r>
          </w:p>
          <w:p w14:paraId="53140CA9" w14:textId="77777777" w:rsidR="004D14D9" w:rsidRPr="009D7FD2" w:rsidRDefault="004D14D9" w:rsidP="001969B4">
            <w:pPr>
              <w:tabs>
                <w:tab w:val="left" w:pos="0"/>
              </w:tabs>
              <w:spacing w:after="0" w:line="240" w:lineRule="auto"/>
              <w:ind w:left="-108"/>
              <w:jc w:val="both"/>
              <w:rPr>
                <w:rFonts w:ascii="Times New Roman" w:hAnsi="Times New Roman"/>
                <w:sz w:val="20"/>
                <w:szCs w:val="20"/>
              </w:rPr>
            </w:pPr>
            <w:r w:rsidRPr="009D7FD2">
              <w:rPr>
                <w:rFonts w:ascii="Times New Roman" w:hAnsi="Times New Roman"/>
                <w:sz w:val="20"/>
                <w:szCs w:val="20"/>
              </w:rPr>
              <w:t>Pentru a clarifica punerea în aplicare a acestui mecanism la nivel național fost realizată o analiză la nivelul MFE, din care rezultă următoarele:</w:t>
            </w:r>
          </w:p>
          <w:p w14:paraId="43367FB8" w14:textId="77777777" w:rsidR="004D14D9" w:rsidRPr="009D7FD2" w:rsidRDefault="004D14D9" w:rsidP="004D14D9">
            <w:pPr>
              <w:pStyle w:val="ListParagraph"/>
              <w:numPr>
                <w:ilvl w:val="0"/>
                <w:numId w:val="12"/>
              </w:numPr>
              <w:tabs>
                <w:tab w:val="left" w:pos="0"/>
              </w:tabs>
              <w:spacing w:after="0" w:line="240" w:lineRule="auto"/>
              <w:jc w:val="both"/>
              <w:rPr>
                <w:rFonts w:ascii="Times New Roman" w:hAnsi="Times New Roman"/>
                <w:sz w:val="20"/>
                <w:szCs w:val="20"/>
              </w:rPr>
            </w:pPr>
            <w:r w:rsidRPr="009D7FD2">
              <w:rPr>
                <w:rFonts w:ascii="Times New Roman" w:hAnsi="Times New Roman"/>
                <w:sz w:val="20"/>
                <w:szCs w:val="20"/>
              </w:rPr>
              <w:t>impactul total al aplicării ratei forfetare de 6% pentru proiectele de investiții de apă și apă uzată cuprinse în portofoliul POIM (în valoare de 8,79 miliarde de euro) însumează aproximativ 550 milioane de Euro.</w:t>
            </w:r>
          </w:p>
          <w:p w14:paraId="1CCE84E5" w14:textId="77777777" w:rsidR="004D14D9" w:rsidRPr="009D7FD2" w:rsidRDefault="004D14D9" w:rsidP="004D14D9">
            <w:pPr>
              <w:pStyle w:val="ListParagraph"/>
              <w:numPr>
                <w:ilvl w:val="0"/>
                <w:numId w:val="12"/>
              </w:numPr>
              <w:tabs>
                <w:tab w:val="left" w:pos="0"/>
              </w:tabs>
              <w:spacing w:after="0" w:line="240" w:lineRule="auto"/>
              <w:jc w:val="both"/>
              <w:rPr>
                <w:rFonts w:ascii="Times New Roman" w:hAnsi="Times New Roman"/>
                <w:sz w:val="20"/>
                <w:szCs w:val="20"/>
              </w:rPr>
            </w:pPr>
            <w:r w:rsidRPr="009D7FD2">
              <w:rPr>
                <w:rFonts w:ascii="Times New Roman" w:hAnsi="Times New Roman"/>
                <w:sz w:val="20"/>
                <w:szCs w:val="20"/>
              </w:rPr>
              <w:t>analizând progresul înregistrat și estimările de implementare din sectorul de apă și apă uzată, rezultă un necesar de finanțare pentru a acoperi contribuția de 6% pentru proiectele de apă și apă uzată POIM de maxim 250 milioane de euro.</w:t>
            </w:r>
          </w:p>
          <w:p w14:paraId="39CD10DF" w14:textId="77777777" w:rsidR="004D14D9" w:rsidRPr="009D7FD2" w:rsidRDefault="004D14D9" w:rsidP="004D14D9">
            <w:pPr>
              <w:pStyle w:val="ListParagraph"/>
              <w:numPr>
                <w:ilvl w:val="0"/>
                <w:numId w:val="12"/>
              </w:numPr>
              <w:tabs>
                <w:tab w:val="left" w:pos="0"/>
              </w:tabs>
              <w:spacing w:after="0" w:line="240" w:lineRule="auto"/>
              <w:jc w:val="both"/>
              <w:rPr>
                <w:rFonts w:ascii="Times New Roman" w:hAnsi="Times New Roman"/>
                <w:sz w:val="20"/>
                <w:szCs w:val="20"/>
              </w:rPr>
            </w:pPr>
            <w:r w:rsidRPr="009D7FD2">
              <w:rPr>
                <w:rFonts w:ascii="Times New Roman" w:hAnsi="Times New Roman"/>
                <w:sz w:val="20"/>
                <w:szCs w:val="20"/>
              </w:rPr>
              <w:t xml:space="preserve">în prezent, operatorii regionali nu au capacitatea de a susține această contribuție, având în vedere graficele de rambursare a împrumuturilor existente (SAMTID, ISPA, POS Mediu) și reducerea eficienței economice prin extinderea către zonele rurale cu venituri scăzute. </w:t>
            </w:r>
          </w:p>
          <w:p w14:paraId="0B0D0006" w14:textId="77777777" w:rsidR="004D14D9" w:rsidRPr="009D7FD2" w:rsidRDefault="004D14D9" w:rsidP="001969B4">
            <w:pPr>
              <w:tabs>
                <w:tab w:val="left" w:pos="0"/>
              </w:tabs>
              <w:spacing w:after="0" w:line="240" w:lineRule="auto"/>
              <w:ind w:left="-108"/>
              <w:jc w:val="both"/>
              <w:rPr>
                <w:rFonts w:ascii="Times New Roman" w:hAnsi="Times New Roman"/>
                <w:sz w:val="20"/>
                <w:szCs w:val="20"/>
              </w:rPr>
            </w:pPr>
            <w:r w:rsidRPr="009D7FD2">
              <w:rPr>
                <w:rFonts w:ascii="Times New Roman" w:hAnsi="Times New Roman"/>
                <w:sz w:val="20"/>
                <w:szCs w:val="20"/>
              </w:rPr>
              <w:t xml:space="preserve">Astfel, pentru a debloca promovarea proiectelor, cu impact atât în creșterea gradului de absorbție și îndeplinirea indicatorilor de program, cât și în creșterea gradului de conformare și reducerea penalităților aferente unui potențial infringement, Ministerul Fondurilor Europene și Ministerul Finanțelor Publice au agreat finanțarea ratei forfetare de 6% pentru proiectele POIM de apă și apă uzată de la bugetul de stat, cu rambursarea ulterioară a datoriei publice guvernamentale printr-un împrumut de tip Structural Programme Loan acordat </w:t>
            </w:r>
            <w:r w:rsidRPr="009D7FD2">
              <w:rPr>
                <w:rFonts w:ascii="Times New Roman" w:hAnsi="Times New Roman"/>
                <w:sz w:val="20"/>
                <w:szCs w:val="20"/>
              </w:rPr>
              <w:lastRenderedPageBreak/>
              <w:t>de Banca Europeană de Investiții, similar împrumuturilor pentru asigurarea cofinanțării naționale POIM (aprobate prin Lega nr. 85/2017, Legea nr. 84/2017 și Legea nr.105/2018)</w:t>
            </w:r>
          </w:p>
          <w:p w14:paraId="0CC6A4D3" w14:textId="77777777" w:rsidR="004D14D9" w:rsidRPr="009D7FD2" w:rsidRDefault="004D14D9" w:rsidP="001969B4">
            <w:pPr>
              <w:tabs>
                <w:tab w:val="left" w:pos="0"/>
              </w:tabs>
              <w:spacing w:after="0" w:line="240" w:lineRule="auto"/>
              <w:ind w:left="-108"/>
              <w:jc w:val="both"/>
              <w:rPr>
                <w:rFonts w:ascii="Times New Roman" w:hAnsi="Times New Roman"/>
                <w:sz w:val="20"/>
                <w:szCs w:val="20"/>
              </w:rPr>
            </w:pPr>
            <w:r w:rsidRPr="009D7FD2">
              <w:rPr>
                <w:rFonts w:ascii="Times New Roman" w:hAnsi="Times New Roman"/>
                <w:sz w:val="20"/>
                <w:szCs w:val="20"/>
              </w:rPr>
              <w:t xml:space="preserve">Modalitatea de recuperare a sumelor astfel alocate de la bugetul de stat va fi convenită ulterior, la nivelul normelor de aplicare a prezentei Ordonanțe de urgență, în baza unei analize detaliate a capacității de rambursare a operatorilor, pentru a asigura eficiența utilizării fondurilor publice, fără a afecta însă activitatea și capacitatea operațională a sectorului.  </w:t>
            </w:r>
          </w:p>
        </w:tc>
      </w:tr>
      <w:tr w:rsidR="009D7FD2" w:rsidRPr="009D7FD2" w14:paraId="7A10E6F4" w14:textId="77777777" w:rsidTr="004D14D9">
        <w:trPr>
          <w:trHeight w:val="849"/>
        </w:trPr>
        <w:tc>
          <w:tcPr>
            <w:tcW w:w="568" w:type="dxa"/>
            <w:vAlign w:val="center"/>
          </w:tcPr>
          <w:p w14:paraId="1887DB7E" w14:textId="5BE5C1E2" w:rsidR="004D14D9" w:rsidRPr="009D7FD2" w:rsidRDefault="002D5106" w:rsidP="001969B4">
            <w:pPr>
              <w:spacing w:after="0" w:line="240" w:lineRule="auto"/>
              <w:jc w:val="center"/>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lastRenderedPageBreak/>
              <w:t>16</w:t>
            </w:r>
          </w:p>
        </w:tc>
        <w:tc>
          <w:tcPr>
            <w:tcW w:w="4678" w:type="dxa"/>
          </w:tcPr>
          <w:p w14:paraId="2EFC2A18" w14:textId="77777777" w:rsidR="004D14D9" w:rsidRPr="009D7FD2" w:rsidRDefault="004D14D9" w:rsidP="001969B4">
            <w:pPr>
              <w:spacing w:after="0" w:line="240" w:lineRule="auto"/>
              <w:jc w:val="both"/>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t>Art. 20 alin. (2)</w:t>
            </w:r>
          </w:p>
          <w:p w14:paraId="1AE7B2D6" w14:textId="77777777" w:rsidR="004D14D9" w:rsidRPr="009D7FD2" w:rsidRDefault="004D14D9" w:rsidP="001969B4">
            <w:pPr>
              <w:spacing w:after="0" w:line="240" w:lineRule="auto"/>
              <w:jc w:val="both"/>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t>”</w:t>
            </w:r>
            <w:r w:rsidRPr="009D7FD2">
              <w:rPr>
                <w:rFonts w:ascii="Times New Roman" w:hAnsi="Times New Roman"/>
                <w:sz w:val="20"/>
                <w:szCs w:val="20"/>
                <w:shd w:val="clear" w:color="auto" w:fill="FFFFFF"/>
              </w:rPr>
              <w:t xml:space="preserve">(2) </w:t>
            </w:r>
            <w:r w:rsidRPr="009D7FD2">
              <w:rPr>
                <w:rFonts w:ascii="Times New Roman" w:hAnsi="Times New Roman"/>
                <w:sz w:val="20"/>
                <w:szCs w:val="20"/>
              </w:rPr>
              <w:t>B</w:t>
            </w:r>
            <w:r w:rsidRPr="009D7FD2">
              <w:rPr>
                <w:rFonts w:ascii="Times New Roman" w:hAnsi="Times New Roman"/>
                <w:sz w:val="20"/>
                <w:szCs w:val="20"/>
                <w:shd w:val="clear" w:color="auto" w:fill="FFFFFF"/>
              </w:rPr>
              <w:t xml:space="preserve">eneficiarul depune la organismul intermediar/autoritatea de management cererea de plată şi documentele justificative aferente acesteia după primirea facturilor pentru livrarea bunurilor/ prestarea serviciilor/execuţia lucrărilor recepţionate, acceptate la plată, a facturilor de avans în conformitate cu clauzele prevăzute în contractele de achiziţii aferente proiectelor implementate, acceptate la plată, a statelor privind plata salariilor, a statelor/centralizatoarelor pentru acordarea burselor, subvenţiilor, premiilor şi onorariilor, </w:t>
            </w:r>
            <w:r w:rsidRPr="009D7FD2">
              <w:rPr>
                <w:rFonts w:ascii="Times New Roman" w:hAnsi="Times New Roman"/>
                <w:b/>
                <w:sz w:val="20"/>
                <w:szCs w:val="20"/>
                <w:shd w:val="clear" w:color="auto" w:fill="FFFFFF"/>
              </w:rPr>
              <w:t>cu excepția Programului Operațional Capital Uman, în cazul căruia beneficiarul depune la organismul intermediar/autoritatea de management cererea de plată şi documentele justificative aferente acesteia d</w:t>
            </w:r>
            <w:r w:rsidRPr="009D7FD2">
              <w:rPr>
                <w:rFonts w:ascii="Times New Roman" w:hAnsi="Times New Roman"/>
                <w:b/>
                <w:sz w:val="20"/>
                <w:szCs w:val="20"/>
              </w:rPr>
              <w:t>upă primirea facturilor pentru livrarea bunurilor/ prestarea serviciilor/execuţia lucrărilor recepţionate, acceptate la plată, a facturilor de avans în conformitate cu clauzele prevăzute în contractele de achiziţii aferente proiectelor implementate,</w:t>
            </w:r>
            <w:r w:rsidRPr="009D7FD2">
              <w:rPr>
                <w:rFonts w:ascii="Times New Roman" w:hAnsi="Times New Roman"/>
                <w:b/>
                <w:sz w:val="20"/>
                <w:szCs w:val="20"/>
                <w:shd w:val="clear" w:color="auto" w:fill="FFFFFF"/>
              </w:rPr>
              <w:t xml:space="preserve"> </w:t>
            </w:r>
            <w:r w:rsidRPr="009D7FD2">
              <w:rPr>
                <w:rFonts w:ascii="Times New Roman" w:hAnsi="Times New Roman"/>
                <w:b/>
                <w:sz w:val="20"/>
                <w:szCs w:val="20"/>
              </w:rPr>
              <w:t>acceptate la plată,</w:t>
            </w:r>
            <w:r w:rsidRPr="009D7FD2">
              <w:rPr>
                <w:rFonts w:ascii="Times New Roman" w:hAnsi="Times New Roman"/>
                <w:b/>
                <w:sz w:val="20"/>
                <w:szCs w:val="20"/>
                <w:shd w:val="clear" w:color="auto" w:fill="FFFFFF"/>
              </w:rPr>
              <w:t xml:space="preserve"> a statelor/centralizatoarelor pentru acordarea </w:t>
            </w:r>
            <w:r w:rsidRPr="009D7FD2">
              <w:rPr>
                <w:rFonts w:ascii="Times New Roman" w:hAnsi="Times New Roman"/>
                <w:b/>
                <w:sz w:val="20"/>
                <w:szCs w:val="20"/>
              </w:rPr>
              <w:t>subvenţiilor care se află sub incidența schemelor de ajutor de stat/minimis</w:t>
            </w:r>
            <w:r w:rsidRPr="009D7FD2">
              <w:rPr>
                <w:rFonts w:ascii="Times New Roman" w:hAnsi="Times New Roman"/>
                <w:b/>
                <w:sz w:val="20"/>
                <w:szCs w:val="20"/>
                <w:shd w:val="clear" w:color="auto" w:fill="FFFFFF"/>
              </w:rPr>
              <w:t>”.</w:t>
            </w:r>
          </w:p>
        </w:tc>
        <w:tc>
          <w:tcPr>
            <w:tcW w:w="3827" w:type="dxa"/>
            <w:vAlign w:val="center"/>
          </w:tcPr>
          <w:p w14:paraId="45C48698" w14:textId="77777777" w:rsidR="004D14D9" w:rsidRPr="009D7FD2" w:rsidRDefault="004D14D9" w:rsidP="001969B4">
            <w:pPr>
              <w:spacing w:after="0" w:line="240" w:lineRule="auto"/>
              <w:jc w:val="both"/>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t>Art. 20 alin. (2)</w:t>
            </w:r>
          </w:p>
          <w:p w14:paraId="1F6C60AB" w14:textId="77777777" w:rsidR="004D14D9" w:rsidRPr="009D7FD2" w:rsidRDefault="004D14D9" w:rsidP="001969B4">
            <w:pPr>
              <w:spacing w:after="0" w:line="240" w:lineRule="auto"/>
              <w:jc w:val="both"/>
              <w:rPr>
                <w:rFonts w:ascii="Times New Roman" w:hAnsi="Times New Roman"/>
                <w:sz w:val="20"/>
                <w:szCs w:val="20"/>
                <w:shd w:val="clear" w:color="auto" w:fill="FFFFFF"/>
              </w:rPr>
            </w:pPr>
            <w:r w:rsidRPr="009D7FD2">
              <w:rPr>
                <w:rFonts w:ascii="Times New Roman" w:hAnsi="Times New Roman"/>
                <w:b/>
                <w:sz w:val="20"/>
                <w:szCs w:val="20"/>
                <w:shd w:val="clear" w:color="auto" w:fill="FFFFFF"/>
              </w:rPr>
              <w:t>”</w:t>
            </w:r>
            <w:r w:rsidRPr="009D7FD2">
              <w:rPr>
                <w:rFonts w:ascii="Times New Roman" w:hAnsi="Times New Roman"/>
                <w:sz w:val="20"/>
                <w:szCs w:val="20"/>
                <w:shd w:val="clear" w:color="auto" w:fill="FFFFFF"/>
              </w:rPr>
              <w:t>(2) După primirea facturilor pentru livrarea bunurilor/ prestarea serviciilor/execuţia lucrărilor recepţionate, acceptate la plată, a facturilor de avans în conformitate cu clauzele prevăzute în contractele de achiziţii aferente proiectelor implementate, acceptate la plată, a statelor privind plata salariilor, a statelor/centralizatoarelor pentru acordarea burselor, subvenţiilor, premiilor şi onorariilor, beneficiarul depune la organismul intermediar/autoritatea de management cererea de plată şi documentele justificative aferente acesteia.</w:t>
            </w:r>
            <w:r w:rsidRPr="009D7FD2">
              <w:rPr>
                <w:rFonts w:ascii="Times New Roman" w:hAnsi="Times New Roman"/>
                <w:b/>
                <w:sz w:val="20"/>
                <w:szCs w:val="20"/>
                <w:shd w:val="clear" w:color="auto" w:fill="FFFFFF"/>
              </w:rPr>
              <w:t>”</w:t>
            </w:r>
          </w:p>
        </w:tc>
        <w:tc>
          <w:tcPr>
            <w:tcW w:w="6521" w:type="dxa"/>
          </w:tcPr>
          <w:p w14:paraId="1BC545BB" w14:textId="77777777" w:rsidR="004D14D9" w:rsidRPr="009D7FD2" w:rsidRDefault="004D14D9" w:rsidP="001969B4">
            <w:pPr>
              <w:spacing w:after="0" w:line="240" w:lineRule="auto"/>
              <w:ind w:left="-108"/>
              <w:jc w:val="both"/>
              <w:rPr>
                <w:rFonts w:ascii="Times New Roman" w:hAnsi="Times New Roman"/>
                <w:sz w:val="20"/>
                <w:szCs w:val="20"/>
              </w:rPr>
            </w:pPr>
            <w:r w:rsidRPr="009D7FD2">
              <w:rPr>
                <w:rFonts w:ascii="Times New Roman" w:hAnsi="Times New Roman"/>
                <w:b/>
                <w:sz w:val="20"/>
                <w:szCs w:val="20"/>
              </w:rPr>
              <w:t xml:space="preserve">Corelare cu mecanismul alternativ de prefinanțare aferent </w:t>
            </w:r>
            <w:r w:rsidRPr="009D7FD2">
              <w:rPr>
                <w:rFonts w:ascii="Times New Roman" w:hAnsi="Times New Roman"/>
                <w:b/>
                <w:sz w:val="20"/>
                <w:szCs w:val="20"/>
                <w:shd w:val="clear" w:color="auto" w:fill="FFFFFF"/>
              </w:rPr>
              <w:t>Programului Operațional Capital Uman.</w:t>
            </w:r>
          </w:p>
        </w:tc>
      </w:tr>
      <w:tr w:rsidR="009D7FD2" w:rsidRPr="009D7FD2" w14:paraId="3E8DE4BD" w14:textId="77777777" w:rsidTr="004D14D9">
        <w:trPr>
          <w:trHeight w:val="849"/>
        </w:trPr>
        <w:tc>
          <w:tcPr>
            <w:tcW w:w="568" w:type="dxa"/>
            <w:vAlign w:val="center"/>
          </w:tcPr>
          <w:p w14:paraId="75791E8A" w14:textId="7D95E1B0" w:rsidR="004D14D9" w:rsidRPr="009D7FD2" w:rsidRDefault="002D5106" w:rsidP="001969B4">
            <w:pPr>
              <w:spacing w:after="0" w:line="240" w:lineRule="auto"/>
              <w:jc w:val="center"/>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t>17</w:t>
            </w:r>
          </w:p>
        </w:tc>
        <w:tc>
          <w:tcPr>
            <w:tcW w:w="4678" w:type="dxa"/>
          </w:tcPr>
          <w:p w14:paraId="429596BC" w14:textId="77777777" w:rsidR="004D14D9" w:rsidRPr="009D7FD2" w:rsidRDefault="004D14D9" w:rsidP="001969B4">
            <w:pPr>
              <w:pStyle w:val="ListParagraph"/>
              <w:spacing w:after="0" w:line="240" w:lineRule="auto"/>
              <w:ind w:left="0"/>
              <w:jc w:val="both"/>
              <w:rPr>
                <w:rFonts w:ascii="Times New Roman" w:hAnsi="Times New Roman"/>
                <w:b/>
                <w:sz w:val="20"/>
                <w:szCs w:val="20"/>
              </w:rPr>
            </w:pPr>
            <w:r w:rsidRPr="009D7FD2">
              <w:rPr>
                <w:rFonts w:ascii="Times New Roman" w:hAnsi="Times New Roman"/>
                <w:sz w:val="20"/>
                <w:szCs w:val="20"/>
                <w:shd w:val="clear" w:color="auto" w:fill="FFFFFF"/>
              </w:rPr>
              <w:t xml:space="preserve"> </w:t>
            </w:r>
            <w:r w:rsidRPr="009D7FD2">
              <w:rPr>
                <w:rFonts w:ascii="Times New Roman" w:hAnsi="Times New Roman"/>
                <w:b/>
                <w:sz w:val="20"/>
                <w:szCs w:val="20"/>
              </w:rPr>
              <w:t>Capitolul VIII</w:t>
            </w:r>
            <w:r w:rsidRPr="009D7FD2">
              <w:rPr>
                <w:rFonts w:ascii="Times New Roman" w:hAnsi="Times New Roman"/>
                <w:b/>
                <w:sz w:val="20"/>
                <w:szCs w:val="20"/>
                <w:vertAlign w:val="superscript"/>
              </w:rPr>
              <w:t>1</w:t>
            </w:r>
            <w:r w:rsidRPr="009D7FD2">
              <w:rPr>
                <w:rFonts w:ascii="Times New Roman" w:hAnsi="Times New Roman"/>
                <w:b/>
                <w:sz w:val="20"/>
                <w:szCs w:val="20"/>
              </w:rPr>
              <w:t xml:space="preserve"> Decizia de reziliere a contractului de finanțare</w:t>
            </w:r>
          </w:p>
          <w:p w14:paraId="7FC474D9" w14:textId="77777777" w:rsidR="004D14D9" w:rsidRPr="009D7FD2" w:rsidRDefault="004D14D9" w:rsidP="001969B4">
            <w:pPr>
              <w:pStyle w:val="ListParagraph"/>
              <w:spacing w:after="0" w:line="240" w:lineRule="auto"/>
              <w:ind w:left="0"/>
              <w:jc w:val="both"/>
              <w:rPr>
                <w:rFonts w:ascii="Times New Roman" w:hAnsi="Times New Roman"/>
                <w:b/>
                <w:sz w:val="20"/>
                <w:szCs w:val="20"/>
              </w:rPr>
            </w:pPr>
          </w:p>
          <w:p w14:paraId="2EC39EC5" w14:textId="77777777" w:rsidR="004D14D9" w:rsidRPr="009D7FD2" w:rsidRDefault="004D14D9" w:rsidP="001969B4">
            <w:pPr>
              <w:shd w:val="clear" w:color="auto" w:fill="FFFFFF"/>
              <w:spacing w:after="0" w:line="240" w:lineRule="auto"/>
              <w:jc w:val="both"/>
              <w:rPr>
                <w:rFonts w:ascii="Times New Roman" w:hAnsi="Times New Roman"/>
                <w:sz w:val="20"/>
                <w:szCs w:val="20"/>
              </w:rPr>
            </w:pPr>
            <w:r w:rsidRPr="009D7FD2">
              <w:rPr>
                <w:rFonts w:ascii="Times New Roman" w:hAnsi="Times New Roman"/>
                <w:sz w:val="20"/>
                <w:szCs w:val="20"/>
              </w:rPr>
              <w:t>„</w:t>
            </w:r>
            <w:r w:rsidRPr="009D7FD2">
              <w:rPr>
                <w:rFonts w:ascii="Times New Roman" w:hAnsi="Times New Roman"/>
                <w:b/>
                <w:sz w:val="20"/>
                <w:szCs w:val="20"/>
              </w:rPr>
              <w:t>Art.29</w:t>
            </w:r>
            <w:r w:rsidRPr="009D7FD2">
              <w:rPr>
                <w:rFonts w:ascii="Times New Roman" w:hAnsi="Times New Roman"/>
                <w:b/>
                <w:sz w:val="20"/>
                <w:szCs w:val="20"/>
                <w:vertAlign w:val="superscript"/>
              </w:rPr>
              <w:t>2</w:t>
            </w:r>
            <w:r w:rsidRPr="009D7FD2">
              <w:rPr>
                <w:rFonts w:ascii="Times New Roman" w:hAnsi="Times New Roman"/>
                <w:sz w:val="20"/>
                <w:szCs w:val="20"/>
              </w:rPr>
              <w:t xml:space="preserve"> - (1) Autorităţile de management emit pe numele beneficiarilor/liderilor de parteneriat/partenerilor decizie de reziliere a contractului de finanțare conform prevederilor acestuia, </w:t>
            </w:r>
            <w:r w:rsidRPr="009D7FD2">
              <w:rPr>
                <w:rFonts w:ascii="Times New Roman" w:hAnsi="Times New Roman"/>
                <w:sz w:val="20"/>
                <w:szCs w:val="20"/>
              </w:rPr>
              <w:lastRenderedPageBreak/>
              <w:t>prin care se individualizează sumele de restituit exprimate în moneda naţională.</w:t>
            </w:r>
          </w:p>
          <w:p w14:paraId="21AEC1D0" w14:textId="77777777" w:rsidR="004D14D9" w:rsidRPr="009D7FD2" w:rsidRDefault="004D14D9" w:rsidP="001969B4">
            <w:pPr>
              <w:shd w:val="clear" w:color="auto" w:fill="FFFFFF"/>
              <w:spacing w:after="0" w:line="240" w:lineRule="auto"/>
              <w:jc w:val="both"/>
              <w:rPr>
                <w:rFonts w:ascii="Times New Roman" w:hAnsi="Times New Roman"/>
                <w:sz w:val="20"/>
                <w:szCs w:val="20"/>
              </w:rPr>
            </w:pPr>
            <w:r w:rsidRPr="009D7FD2">
              <w:rPr>
                <w:rFonts w:ascii="Times New Roman" w:hAnsi="Times New Roman"/>
                <w:sz w:val="20"/>
                <w:szCs w:val="20"/>
              </w:rPr>
              <w:t>(2) Decizia de reziliere a contractului de finanțare constituie titlu de creanţă şi cuprinde elementele actului administrativ-fiscal prevăzute de Legea nr. 207/2015 privind Codul de procedură fiscală, cu modificările şi completările ulterioare. În titlul de creanţă se indică şi contul în care beneficiarul/liderul de parteneriat/partenerul trebuie să efectueze plata.</w:t>
            </w:r>
          </w:p>
          <w:p w14:paraId="484DFEA9" w14:textId="77777777" w:rsidR="004D14D9" w:rsidRPr="009D7FD2" w:rsidRDefault="004D14D9" w:rsidP="001969B4">
            <w:pPr>
              <w:shd w:val="clear" w:color="auto" w:fill="FFFFFF"/>
              <w:spacing w:after="0" w:line="240" w:lineRule="auto"/>
              <w:jc w:val="both"/>
              <w:rPr>
                <w:rFonts w:ascii="Times New Roman" w:hAnsi="Times New Roman"/>
                <w:sz w:val="20"/>
                <w:szCs w:val="20"/>
                <w:shd w:val="clear" w:color="auto" w:fill="FFFFFF"/>
              </w:rPr>
            </w:pPr>
            <w:r w:rsidRPr="009D7FD2">
              <w:rPr>
                <w:rFonts w:ascii="Times New Roman" w:hAnsi="Times New Roman"/>
                <w:iCs/>
                <w:sz w:val="20"/>
                <w:szCs w:val="20"/>
              </w:rPr>
              <w:t>(3)</w:t>
            </w:r>
            <w:r w:rsidRPr="009D7FD2">
              <w:rPr>
                <w:rFonts w:ascii="Times New Roman" w:hAnsi="Times New Roman"/>
                <w:sz w:val="20"/>
                <w:szCs w:val="20"/>
              </w:rPr>
              <w:t xml:space="preserve"> Recuperarea sumelor prevăzute la alin. (1) se efectuează pe baza mecanismului detaliat la art. 16.</w:t>
            </w:r>
          </w:p>
          <w:p w14:paraId="732F78C7" w14:textId="77777777" w:rsidR="004D14D9" w:rsidRPr="009D7FD2" w:rsidRDefault="004D14D9" w:rsidP="001969B4">
            <w:pPr>
              <w:pStyle w:val="ListParagraph"/>
              <w:spacing w:after="0" w:line="240" w:lineRule="auto"/>
              <w:ind w:left="0"/>
              <w:jc w:val="both"/>
              <w:rPr>
                <w:rFonts w:ascii="Times New Roman" w:hAnsi="Times New Roman"/>
                <w:sz w:val="20"/>
                <w:szCs w:val="20"/>
                <w:shd w:val="clear" w:color="auto" w:fill="FFFFFF"/>
              </w:rPr>
            </w:pPr>
          </w:p>
        </w:tc>
        <w:tc>
          <w:tcPr>
            <w:tcW w:w="3827" w:type="dxa"/>
            <w:vAlign w:val="center"/>
          </w:tcPr>
          <w:p w14:paraId="7F394CE5" w14:textId="77777777" w:rsidR="004D14D9" w:rsidRPr="009D7FD2" w:rsidRDefault="004D14D9" w:rsidP="001969B4">
            <w:pPr>
              <w:spacing w:after="0" w:line="240" w:lineRule="auto"/>
              <w:jc w:val="center"/>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lastRenderedPageBreak/>
              <w:t>-</w:t>
            </w:r>
          </w:p>
        </w:tc>
        <w:tc>
          <w:tcPr>
            <w:tcW w:w="6521" w:type="dxa"/>
          </w:tcPr>
          <w:p w14:paraId="5447EEE4" w14:textId="77777777" w:rsidR="004D14D9" w:rsidRPr="009D7FD2" w:rsidRDefault="004D14D9" w:rsidP="001969B4">
            <w:pPr>
              <w:spacing w:after="0" w:line="240" w:lineRule="auto"/>
              <w:ind w:left="-108"/>
              <w:jc w:val="both"/>
              <w:rPr>
                <w:rFonts w:ascii="Times New Roman" w:hAnsi="Times New Roman"/>
                <w:sz w:val="20"/>
                <w:szCs w:val="20"/>
              </w:rPr>
            </w:pPr>
            <w:r w:rsidRPr="009D7FD2">
              <w:rPr>
                <w:rFonts w:ascii="Times New Roman" w:hAnsi="Times New Roman"/>
                <w:sz w:val="20"/>
                <w:szCs w:val="20"/>
              </w:rPr>
              <w:t>Prin completarea OUG nr. 40/2015 cu prevederi referitoare la recuperarea prin alte titluri de creanță, se diminuează termenul de obținere a eșalonării la plată a sumelor stabilite prin decizia de reziliere a contractului de finanțare, emise de către autoritățile de management.</w:t>
            </w:r>
          </w:p>
          <w:p w14:paraId="66A48ADA" w14:textId="77777777" w:rsidR="004D14D9" w:rsidRPr="009D7FD2" w:rsidRDefault="004D14D9" w:rsidP="001969B4">
            <w:pPr>
              <w:spacing w:after="0" w:line="240" w:lineRule="auto"/>
              <w:ind w:left="-108"/>
              <w:jc w:val="both"/>
              <w:rPr>
                <w:rFonts w:ascii="Times New Roman" w:hAnsi="Times New Roman"/>
                <w:sz w:val="20"/>
                <w:szCs w:val="20"/>
              </w:rPr>
            </w:pPr>
            <w:r w:rsidRPr="009D7FD2">
              <w:rPr>
                <w:rFonts w:ascii="Times New Roman" w:hAnsi="Times New Roman"/>
                <w:sz w:val="20"/>
                <w:szCs w:val="20"/>
              </w:rPr>
              <w:t xml:space="preserve">Reducerea termenului de obținere a certificatului de atestare contribuie la o gestionare mai eficientă a fondurilor europene și a fondurilor de cofinanțare de la bugetul de stat atât de la nivelul beneficiarilor cât și de la nivelul </w:t>
            </w:r>
            <w:r w:rsidRPr="009D7FD2">
              <w:rPr>
                <w:rFonts w:ascii="Times New Roman" w:hAnsi="Times New Roman"/>
                <w:sz w:val="20"/>
                <w:szCs w:val="20"/>
              </w:rPr>
              <w:lastRenderedPageBreak/>
              <w:t xml:space="preserve">Autorităților de management, deoarece în baza certificatului fiscal eliberat de ANAF, beneficiarii au posibilitatea de a depune spre contractare proiecte.  </w:t>
            </w:r>
          </w:p>
          <w:p w14:paraId="516FA7DC" w14:textId="77777777" w:rsidR="004D14D9" w:rsidRPr="009D7FD2" w:rsidRDefault="004D14D9" w:rsidP="001969B4">
            <w:pPr>
              <w:spacing w:after="0" w:line="240" w:lineRule="auto"/>
              <w:ind w:left="-108"/>
              <w:jc w:val="both"/>
              <w:rPr>
                <w:rFonts w:ascii="Times New Roman" w:hAnsi="Times New Roman"/>
                <w:sz w:val="20"/>
                <w:szCs w:val="20"/>
              </w:rPr>
            </w:pPr>
            <w:r w:rsidRPr="009D7FD2">
              <w:rPr>
                <w:rFonts w:ascii="Times New Roman" w:hAnsi="Times New Roman"/>
                <w:sz w:val="20"/>
                <w:szCs w:val="20"/>
              </w:rPr>
              <w:t xml:space="preserve">În vederea contractării de proiecte este imperios necesară obținerea eșalonării la plată a debitelor stabilite prin decizia de reziliere a contractului de finanțare, emisă de către autoritățile de management. </w:t>
            </w:r>
          </w:p>
          <w:p w14:paraId="43877485" w14:textId="77777777" w:rsidR="004D14D9" w:rsidRPr="009D7FD2" w:rsidRDefault="004D14D9" w:rsidP="001969B4">
            <w:pPr>
              <w:spacing w:after="0" w:line="240" w:lineRule="auto"/>
              <w:ind w:left="-108"/>
              <w:jc w:val="both"/>
              <w:rPr>
                <w:rFonts w:ascii="Times New Roman" w:hAnsi="Times New Roman"/>
                <w:b/>
                <w:i/>
                <w:sz w:val="20"/>
                <w:szCs w:val="20"/>
              </w:rPr>
            </w:pPr>
            <w:r w:rsidRPr="009D7FD2">
              <w:rPr>
                <w:rFonts w:ascii="Times New Roman" w:hAnsi="Times New Roman"/>
                <w:sz w:val="20"/>
                <w:szCs w:val="20"/>
              </w:rPr>
              <w:t>Prin reglementarea propusă se creează posibilitatea ca beneficiarii care au datorii neachitate către organele fiscale competente din subordinea Agenţiei Naţionale de Administrare Fiscală, să poată accesa fonduri europene pentru finanțarea de proiecte în baza certificatului de atestare fiscală.</w:t>
            </w:r>
          </w:p>
        </w:tc>
      </w:tr>
      <w:tr w:rsidR="009D7FD2" w:rsidRPr="009D7FD2" w14:paraId="0F5148DD" w14:textId="77777777" w:rsidTr="004D14D9">
        <w:trPr>
          <w:trHeight w:val="849"/>
        </w:trPr>
        <w:tc>
          <w:tcPr>
            <w:tcW w:w="568" w:type="dxa"/>
            <w:vAlign w:val="center"/>
          </w:tcPr>
          <w:p w14:paraId="648CF901" w14:textId="3F57B5EC" w:rsidR="004D14D9" w:rsidRPr="009D7FD2" w:rsidRDefault="002D5106" w:rsidP="001969B4">
            <w:pPr>
              <w:spacing w:after="0" w:line="240" w:lineRule="auto"/>
              <w:jc w:val="center"/>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lastRenderedPageBreak/>
              <w:t>18</w:t>
            </w:r>
          </w:p>
        </w:tc>
        <w:tc>
          <w:tcPr>
            <w:tcW w:w="4678" w:type="dxa"/>
          </w:tcPr>
          <w:p w14:paraId="0F398D1C" w14:textId="77777777" w:rsidR="004D14D9" w:rsidRPr="009D7FD2" w:rsidRDefault="004D14D9" w:rsidP="001969B4">
            <w:pPr>
              <w:spacing w:after="0" w:line="240" w:lineRule="auto"/>
              <w:jc w:val="both"/>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t>Art. 37</w:t>
            </w:r>
          </w:p>
          <w:p w14:paraId="2DE7144F" w14:textId="77777777" w:rsidR="004D14D9" w:rsidRPr="009D7FD2" w:rsidRDefault="004D14D9" w:rsidP="001969B4">
            <w:pPr>
              <w:spacing w:after="0" w:line="240" w:lineRule="auto"/>
              <w:jc w:val="both"/>
              <w:rPr>
                <w:rFonts w:ascii="Times New Roman" w:hAnsi="Times New Roman"/>
                <w:b/>
                <w:sz w:val="20"/>
                <w:szCs w:val="20"/>
                <w:shd w:val="clear" w:color="auto" w:fill="FFFFFF"/>
              </w:rPr>
            </w:pPr>
            <w:r w:rsidRPr="009D7FD2">
              <w:rPr>
                <w:rFonts w:ascii="Times New Roman" w:hAnsi="Times New Roman"/>
                <w:b/>
                <w:bCs/>
                <w:sz w:val="20"/>
                <w:szCs w:val="20"/>
              </w:rPr>
              <w:t>”Art. 37 Sumele cuvenite a fi rambursate beneficiarilor prevăzuți la art. 6 alin. (2), care au făcut obiectul plăților efectuate din veniturile proprii  pentru cheltuieli de investiții, astfel cum acestea sunt stabilite prin devizul general de investiții sau prin alte acte normative incidente, pentru proiectele aflate în implementare, se fac venit la bugetele din care s-au efectuat cheltuielile pentru finanţarea obiectivului de investiţie.”</w:t>
            </w:r>
          </w:p>
        </w:tc>
        <w:tc>
          <w:tcPr>
            <w:tcW w:w="3827" w:type="dxa"/>
            <w:vAlign w:val="center"/>
          </w:tcPr>
          <w:p w14:paraId="1502E9D4" w14:textId="77777777" w:rsidR="004D14D9" w:rsidRPr="009D7FD2" w:rsidRDefault="004D14D9" w:rsidP="001969B4">
            <w:pPr>
              <w:spacing w:after="0" w:line="240" w:lineRule="auto"/>
              <w:jc w:val="center"/>
              <w:rPr>
                <w:rFonts w:ascii="Times New Roman" w:hAnsi="Times New Roman"/>
                <w:sz w:val="20"/>
                <w:szCs w:val="20"/>
                <w:shd w:val="clear" w:color="auto" w:fill="FFFFFF"/>
              </w:rPr>
            </w:pPr>
            <w:r w:rsidRPr="009D7FD2">
              <w:rPr>
                <w:rFonts w:ascii="Times New Roman" w:hAnsi="Times New Roman"/>
                <w:sz w:val="20"/>
                <w:szCs w:val="20"/>
                <w:shd w:val="clear" w:color="auto" w:fill="FFFFFF"/>
              </w:rPr>
              <w:t>-</w:t>
            </w:r>
          </w:p>
        </w:tc>
        <w:tc>
          <w:tcPr>
            <w:tcW w:w="6521" w:type="dxa"/>
          </w:tcPr>
          <w:p w14:paraId="2BD1164D" w14:textId="77777777" w:rsidR="004D14D9" w:rsidRPr="009D7FD2" w:rsidRDefault="004D14D9" w:rsidP="001969B4">
            <w:pPr>
              <w:spacing w:after="0" w:line="240" w:lineRule="auto"/>
              <w:ind w:left="-108"/>
              <w:jc w:val="both"/>
              <w:rPr>
                <w:rFonts w:ascii="Times New Roman" w:hAnsi="Times New Roman"/>
                <w:b/>
                <w:i/>
                <w:sz w:val="20"/>
                <w:szCs w:val="20"/>
              </w:rPr>
            </w:pPr>
            <w:r w:rsidRPr="009D7FD2">
              <w:rPr>
                <w:rFonts w:ascii="Times New Roman" w:hAnsi="Times New Roman"/>
                <w:bCs/>
                <w:sz w:val="20"/>
                <w:szCs w:val="20"/>
              </w:rPr>
              <w:t>Această completare a actului normativ este necesară pentru a se reglementa reîntregirea bugetelor din care au fost inițiate cheltuielile întrucât sunt companii care având finanțare mixtă au inițiat cheltuieli din fonduri proprii, iar prin rambursarea cheltuielilor acestea reîntregeau doar bugetul de stat.</w:t>
            </w:r>
          </w:p>
        </w:tc>
      </w:tr>
      <w:tr w:rsidR="009D7FD2" w:rsidRPr="009D7FD2" w14:paraId="7B9FD50F" w14:textId="77777777" w:rsidTr="00097DA3">
        <w:trPr>
          <w:trHeight w:val="938"/>
        </w:trPr>
        <w:tc>
          <w:tcPr>
            <w:tcW w:w="15594" w:type="dxa"/>
            <w:gridSpan w:val="4"/>
            <w:vAlign w:val="center"/>
          </w:tcPr>
          <w:p w14:paraId="41DAA2AE" w14:textId="1A9EF593" w:rsidR="00641FF8" w:rsidRPr="009D7FD2" w:rsidRDefault="00641FF8" w:rsidP="00097DA3">
            <w:pPr>
              <w:spacing w:after="0" w:line="240" w:lineRule="auto"/>
              <w:jc w:val="both"/>
              <w:rPr>
                <w:rFonts w:ascii="Times New Roman" w:hAnsi="Times New Roman"/>
                <w:bCs/>
                <w:sz w:val="20"/>
                <w:szCs w:val="20"/>
              </w:rPr>
            </w:pPr>
            <w:r w:rsidRPr="009D7FD2">
              <w:rPr>
                <w:rFonts w:ascii="Times New Roman" w:hAnsi="Times New Roman"/>
                <w:b/>
                <w:sz w:val="20"/>
                <w:szCs w:val="20"/>
              </w:rPr>
              <w:t>Art. VII si IX Ordonanței de urgență a Guvernului nr. 30/2018 privind instituirea unor măsuri în domeniul fondurilor europene și pentru completarea unor acte normative și a Ordonanței de urgență a Guvernului nr.47/2013 privind unele măsuri în domeniul instrumentelor structurale care privesc beneficiarii direcți finanțați din fonduri externe nerambursabile, precum şi unele măsuri financiare în domeniul ex-ISPA din sectorul transporturi</w:t>
            </w:r>
          </w:p>
        </w:tc>
      </w:tr>
      <w:tr w:rsidR="009D7FD2" w:rsidRPr="009D7FD2" w14:paraId="3AE7F21B" w14:textId="77777777" w:rsidTr="00097DA3">
        <w:trPr>
          <w:trHeight w:val="214"/>
        </w:trPr>
        <w:tc>
          <w:tcPr>
            <w:tcW w:w="568" w:type="dxa"/>
            <w:vAlign w:val="center"/>
          </w:tcPr>
          <w:p w14:paraId="56B3AF80" w14:textId="22EAEAF0" w:rsidR="00641FF8" w:rsidRPr="009D7FD2" w:rsidRDefault="002D5106" w:rsidP="00BD2D5E">
            <w:pPr>
              <w:spacing w:after="0" w:line="240" w:lineRule="auto"/>
              <w:jc w:val="center"/>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t>19</w:t>
            </w:r>
          </w:p>
        </w:tc>
        <w:tc>
          <w:tcPr>
            <w:tcW w:w="4678" w:type="dxa"/>
          </w:tcPr>
          <w:p w14:paraId="4336EB40" w14:textId="77777777" w:rsidR="00641FF8" w:rsidRPr="009D7FD2" w:rsidRDefault="00641FF8" w:rsidP="000B33ED">
            <w:pPr>
              <w:pStyle w:val="ListParagraph"/>
              <w:spacing w:before="120" w:after="120" w:line="240" w:lineRule="auto"/>
              <w:ind w:left="0"/>
              <w:jc w:val="both"/>
              <w:rPr>
                <w:rFonts w:ascii="Times New Roman" w:hAnsi="Times New Roman"/>
                <w:sz w:val="20"/>
                <w:szCs w:val="20"/>
              </w:rPr>
            </w:pPr>
            <w:r w:rsidRPr="009D7FD2">
              <w:rPr>
                <w:rFonts w:ascii="Times New Roman" w:hAnsi="Times New Roman"/>
                <w:sz w:val="20"/>
                <w:szCs w:val="20"/>
              </w:rPr>
              <w:t>I. Ordonanța de urgență a Guvernului nr. 30/2018 privind instituirea unor măsuri în domeniul fondurilor europene și pentru completarea unor acte normative</w:t>
            </w:r>
          </w:p>
          <w:p w14:paraId="2CEBBC02" w14:textId="77777777" w:rsidR="00641FF8" w:rsidRPr="009D7FD2" w:rsidRDefault="00641FF8" w:rsidP="000B33ED">
            <w:pPr>
              <w:pStyle w:val="ListParagraph"/>
              <w:spacing w:before="120" w:after="120" w:line="240" w:lineRule="auto"/>
              <w:ind w:left="0"/>
              <w:jc w:val="both"/>
              <w:rPr>
                <w:rFonts w:ascii="Times New Roman" w:hAnsi="Times New Roman"/>
                <w:sz w:val="20"/>
                <w:szCs w:val="20"/>
              </w:rPr>
            </w:pPr>
          </w:p>
          <w:p w14:paraId="0368C5A3" w14:textId="77777777" w:rsidR="00BE07C9" w:rsidRDefault="00BE07C9" w:rsidP="000B33ED">
            <w:pPr>
              <w:pStyle w:val="ListParagraph"/>
              <w:spacing w:before="120" w:after="120" w:line="240" w:lineRule="auto"/>
              <w:ind w:left="0"/>
              <w:jc w:val="both"/>
              <w:rPr>
                <w:rFonts w:ascii="Times New Roman" w:hAnsi="Times New Roman"/>
                <w:sz w:val="20"/>
                <w:szCs w:val="20"/>
              </w:rPr>
            </w:pPr>
            <w:r w:rsidRPr="009D7FD2">
              <w:rPr>
                <w:rFonts w:ascii="Times New Roman" w:hAnsi="Times New Roman"/>
                <w:sz w:val="20"/>
                <w:szCs w:val="20"/>
              </w:rPr>
              <w:t xml:space="preserve">(1^2) Pentru decontarea din fonduri europene prin Programul Operațional Infrastructură Mare 2014 – 2020 (POIM) a obiectivelor de investiții menționate la art. 7 alin. (1) lit. a) și b) din Ordonanța de urgență a Guvernului nr. 28/2013 pentru aprobarea Programului național de dezvoltare locală, aprobată prin Legea nr. 89/2015, cu modificările și completările ulterioare, beneficiarii Programului național de dezvoltare locală </w:t>
            </w:r>
            <w:r w:rsidRPr="009D7FD2">
              <w:rPr>
                <w:rFonts w:ascii="Times New Roman" w:hAnsi="Times New Roman"/>
                <w:sz w:val="20"/>
                <w:szCs w:val="20"/>
              </w:rPr>
              <w:lastRenderedPageBreak/>
              <w:t>depun documentațiile aferente proiectelor la Autoritatea de Management pentru Programul Operațional Infrastructură Mare din cadrul Ministerului Fondurilor Europene, în vederea analizării și includerii acestora în portofoliul POIM în termenele și condițiile stabilite prin ordin al ministrului fondurilor europene.</w:t>
            </w:r>
          </w:p>
          <w:p w14:paraId="7B628D1E" w14:textId="77777777" w:rsidR="00BE07C9" w:rsidRPr="009D7FD2" w:rsidRDefault="00BE07C9" w:rsidP="000B33ED">
            <w:pPr>
              <w:pStyle w:val="ListParagraph"/>
              <w:spacing w:before="120" w:after="120" w:line="240" w:lineRule="auto"/>
              <w:ind w:left="0"/>
              <w:jc w:val="both"/>
              <w:rPr>
                <w:rFonts w:ascii="Times New Roman" w:hAnsi="Times New Roman"/>
                <w:sz w:val="20"/>
                <w:szCs w:val="20"/>
              </w:rPr>
            </w:pPr>
          </w:p>
          <w:p w14:paraId="7390FB95" w14:textId="6572ACF8" w:rsidR="00641FF8" w:rsidRPr="009D7FD2" w:rsidRDefault="00BE07C9" w:rsidP="000B33ED">
            <w:pPr>
              <w:pStyle w:val="ListParagraph"/>
              <w:spacing w:before="120" w:after="120" w:line="240" w:lineRule="auto"/>
              <w:ind w:left="0"/>
              <w:jc w:val="both"/>
              <w:rPr>
                <w:rFonts w:ascii="Times New Roman" w:hAnsi="Times New Roman"/>
                <w:sz w:val="20"/>
                <w:szCs w:val="20"/>
              </w:rPr>
            </w:pPr>
            <w:r w:rsidRPr="009D7FD2">
              <w:rPr>
                <w:rFonts w:ascii="Times New Roman" w:hAnsi="Times New Roman"/>
                <w:sz w:val="20"/>
                <w:szCs w:val="20"/>
              </w:rPr>
              <w:t>(1^3) Ordinul ministrului fondurilor europene prevăzut la articolul I, alin. (1^2) se aprobă în 10 zile de la data intrării în vigoare a prezentei ordonanțe de urgență și se publică în Monitorul Oficial al României</w:t>
            </w:r>
          </w:p>
          <w:p w14:paraId="1C107360" w14:textId="77777777" w:rsidR="00641FF8" w:rsidRPr="009D7FD2" w:rsidRDefault="00641FF8" w:rsidP="000B33ED">
            <w:pPr>
              <w:pStyle w:val="ListParagraph"/>
              <w:spacing w:before="120" w:after="120" w:line="240" w:lineRule="auto"/>
              <w:ind w:left="0"/>
              <w:jc w:val="both"/>
              <w:rPr>
                <w:rFonts w:ascii="Times New Roman" w:hAnsi="Times New Roman"/>
                <w:sz w:val="20"/>
                <w:szCs w:val="20"/>
              </w:rPr>
            </w:pPr>
          </w:p>
          <w:p w14:paraId="4FEDA1E5" w14:textId="77777777" w:rsidR="00BE07C9" w:rsidRPr="009D7FD2" w:rsidRDefault="00BE07C9" w:rsidP="000B33ED">
            <w:pPr>
              <w:pStyle w:val="ListParagraph"/>
              <w:spacing w:before="120" w:after="120" w:line="240" w:lineRule="auto"/>
              <w:ind w:left="0"/>
              <w:jc w:val="both"/>
              <w:rPr>
                <w:rFonts w:ascii="Times New Roman" w:hAnsi="Times New Roman"/>
                <w:sz w:val="20"/>
                <w:szCs w:val="20"/>
              </w:rPr>
            </w:pPr>
            <w:r w:rsidRPr="009D7FD2">
              <w:rPr>
                <w:rFonts w:ascii="Times New Roman" w:hAnsi="Times New Roman"/>
                <w:sz w:val="20"/>
                <w:szCs w:val="20"/>
              </w:rPr>
              <w:t xml:space="preserve">(2) În cazul proiectelor prevăzute la alin. (1), (1^1) și (1^2), sumele cuvenite a fi rambursate beneficiarilor acestor proiecte se fac venit, la o poziție distinctă, în bugetul din care a fost asigurată sursa de finanțare a cheltuielilor sau se transferă în conturile programului operațional 2007-2013 din care a fost finanțat proiectul, conform regulilor de implementare ale programelor operaționale. </w:t>
            </w:r>
          </w:p>
          <w:p w14:paraId="6A689D8A" w14:textId="77777777" w:rsidR="00BE07C9" w:rsidRDefault="00BE07C9" w:rsidP="000B33ED">
            <w:pPr>
              <w:pStyle w:val="ListParagraph"/>
              <w:spacing w:before="120" w:after="120" w:line="240" w:lineRule="auto"/>
              <w:ind w:left="0"/>
              <w:jc w:val="both"/>
              <w:rPr>
                <w:rFonts w:ascii="Times New Roman" w:hAnsi="Times New Roman"/>
                <w:sz w:val="20"/>
                <w:szCs w:val="20"/>
              </w:rPr>
            </w:pPr>
          </w:p>
          <w:p w14:paraId="59B529FB" w14:textId="77777777" w:rsidR="00BE07C9" w:rsidRPr="009D7FD2" w:rsidRDefault="00BE07C9" w:rsidP="000B33ED">
            <w:pPr>
              <w:pStyle w:val="ListParagraph"/>
              <w:spacing w:before="120" w:after="120" w:line="240" w:lineRule="auto"/>
              <w:ind w:left="0"/>
              <w:jc w:val="both"/>
              <w:rPr>
                <w:rFonts w:ascii="Times New Roman" w:hAnsi="Times New Roman"/>
                <w:sz w:val="20"/>
                <w:szCs w:val="20"/>
              </w:rPr>
            </w:pPr>
          </w:p>
          <w:p w14:paraId="62A7AA3B" w14:textId="71D621F0" w:rsidR="00641FF8" w:rsidRPr="009D7FD2" w:rsidRDefault="00BE07C9" w:rsidP="000B33ED">
            <w:pPr>
              <w:pStyle w:val="ListParagraph"/>
              <w:spacing w:before="120" w:after="120" w:line="240" w:lineRule="auto"/>
              <w:ind w:left="0"/>
              <w:jc w:val="both"/>
              <w:rPr>
                <w:rFonts w:ascii="Times New Roman" w:hAnsi="Times New Roman"/>
                <w:sz w:val="20"/>
                <w:szCs w:val="20"/>
              </w:rPr>
            </w:pPr>
            <w:r w:rsidRPr="009D7FD2">
              <w:rPr>
                <w:rFonts w:ascii="Times New Roman" w:hAnsi="Times New Roman"/>
                <w:sz w:val="20"/>
                <w:szCs w:val="20"/>
              </w:rPr>
              <w:t>(3) Prin excepție de la alin. (2), pentru proiectele prevăzute la alin. (1^1) și (1^2), din sumele care se cuvin bugetului de stat, 25% se virează de către ordonatorii principali de credite cu rol de autoritate de management într-un cont distinct de venituri al bugetelor locale ale beneficiarilor unității administrativ-teritoriale și vor fi utilizate pentru finanțarea cheltuielilor secțiunii de dezvoltare a acestor bugete, inclusiv pentru finanțarea părții din proiect rămase de executat la data aprobării finanțării din fonduri europene structurale și de investiții și/sau plata corecțiilor financiare stabilite în cadrul proiectului. Sumele rămase neutilizate se reflectă în excedentul bugetului local și vor fi utilizate în anul următor cu aceeași destinație.</w:t>
            </w:r>
          </w:p>
          <w:p w14:paraId="553A931E" w14:textId="77777777" w:rsidR="00641FF8" w:rsidRPr="009D7FD2" w:rsidRDefault="00641FF8" w:rsidP="000B33ED">
            <w:pPr>
              <w:pStyle w:val="ListParagraph"/>
              <w:spacing w:before="120" w:after="120" w:line="240" w:lineRule="auto"/>
              <w:ind w:left="0"/>
              <w:jc w:val="both"/>
              <w:rPr>
                <w:rFonts w:ascii="Times New Roman" w:hAnsi="Times New Roman"/>
                <w:sz w:val="20"/>
                <w:szCs w:val="20"/>
              </w:rPr>
            </w:pPr>
          </w:p>
          <w:p w14:paraId="432ABF23" w14:textId="77777777" w:rsidR="00641FF8" w:rsidRPr="009D7FD2" w:rsidRDefault="00641FF8" w:rsidP="000B33ED">
            <w:pPr>
              <w:pStyle w:val="ListParagraph"/>
              <w:spacing w:before="120" w:after="120" w:line="240" w:lineRule="auto"/>
              <w:ind w:left="0"/>
              <w:jc w:val="both"/>
              <w:rPr>
                <w:rFonts w:ascii="Times New Roman" w:hAnsi="Times New Roman"/>
                <w:sz w:val="20"/>
                <w:szCs w:val="20"/>
              </w:rPr>
            </w:pPr>
          </w:p>
          <w:p w14:paraId="0678A4A6" w14:textId="78F79365" w:rsidR="00641FF8" w:rsidRPr="009D7FD2" w:rsidRDefault="00641FF8" w:rsidP="000B33ED">
            <w:pPr>
              <w:spacing w:after="0" w:line="240" w:lineRule="auto"/>
              <w:jc w:val="both"/>
              <w:rPr>
                <w:rFonts w:ascii="Times New Roman" w:hAnsi="Times New Roman"/>
                <w:b/>
                <w:sz w:val="20"/>
                <w:szCs w:val="20"/>
                <w:shd w:val="clear" w:color="auto" w:fill="FFFFFF"/>
              </w:rPr>
            </w:pPr>
            <w:r w:rsidRPr="009D7FD2">
              <w:rPr>
                <w:rFonts w:ascii="Times New Roman" w:hAnsi="Times New Roman"/>
                <w:sz w:val="20"/>
                <w:szCs w:val="20"/>
              </w:rPr>
              <w:t xml:space="preserve"> </w:t>
            </w:r>
          </w:p>
        </w:tc>
        <w:tc>
          <w:tcPr>
            <w:tcW w:w="3827" w:type="dxa"/>
          </w:tcPr>
          <w:p w14:paraId="7D022BB9" w14:textId="77777777" w:rsidR="00641FF8" w:rsidRPr="009D7FD2" w:rsidRDefault="00641FF8" w:rsidP="000B33ED">
            <w:pPr>
              <w:pStyle w:val="ListParagraph"/>
              <w:spacing w:before="120" w:after="120" w:line="240" w:lineRule="auto"/>
              <w:ind w:left="0"/>
              <w:jc w:val="both"/>
              <w:rPr>
                <w:rFonts w:ascii="Times New Roman" w:hAnsi="Times New Roman"/>
                <w:sz w:val="20"/>
                <w:szCs w:val="20"/>
              </w:rPr>
            </w:pPr>
          </w:p>
          <w:p w14:paraId="57545078" w14:textId="77777777" w:rsidR="00641FF8" w:rsidRPr="009D7FD2" w:rsidRDefault="00641FF8" w:rsidP="000B33ED">
            <w:pPr>
              <w:pStyle w:val="ListParagraph"/>
              <w:spacing w:before="120" w:after="120" w:line="240" w:lineRule="auto"/>
              <w:ind w:left="0"/>
              <w:jc w:val="both"/>
              <w:rPr>
                <w:rFonts w:ascii="Times New Roman" w:hAnsi="Times New Roman"/>
                <w:sz w:val="20"/>
                <w:szCs w:val="20"/>
              </w:rPr>
            </w:pPr>
          </w:p>
          <w:p w14:paraId="589FEA87" w14:textId="77777777" w:rsidR="00641FF8" w:rsidRPr="009D7FD2" w:rsidRDefault="00641FF8" w:rsidP="000B33ED">
            <w:pPr>
              <w:pStyle w:val="ListParagraph"/>
              <w:spacing w:before="120" w:after="120" w:line="240" w:lineRule="auto"/>
              <w:ind w:left="0"/>
              <w:jc w:val="both"/>
              <w:rPr>
                <w:rFonts w:ascii="Times New Roman" w:hAnsi="Times New Roman"/>
                <w:sz w:val="20"/>
                <w:szCs w:val="20"/>
              </w:rPr>
            </w:pPr>
          </w:p>
          <w:p w14:paraId="09F51C35" w14:textId="77777777" w:rsidR="00641FF8" w:rsidRPr="009D7FD2" w:rsidRDefault="00641FF8" w:rsidP="000B33ED">
            <w:pPr>
              <w:pStyle w:val="ListParagraph"/>
              <w:spacing w:before="120" w:after="120" w:line="240" w:lineRule="auto"/>
              <w:ind w:left="0"/>
              <w:jc w:val="both"/>
              <w:rPr>
                <w:rFonts w:ascii="Times New Roman" w:hAnsi="Times New Roman"/>
                <w:sz w:val="20"/>
                <w:szCs w:val="20"/>
              </w:rPr>
            </w:pPr>
          </w:p>
          <w:p w14:paraId="1B47C498" w14:textId="77777777" w:rsidR="00641FF8" w:rsidRPr="009D7FD2" w:rsidRDefault="00641FF8" w:rsidP="000B33ED">
            <w:pPr>
              <w:pStyle w:val="ListParagraph"/>
              <w:spacing w:before="120" w:after="120" w:line="240" w:lineRule="auto"/>
              <w:ind w:left="0"/>
              <w:jc w:val="both"/>
              <w:rPr>
                <w:rFonts w:ascii="Times New Roman" w:hAnsi="Times New Roman"/>
                <w:sz w:val="20"/>
                <w:szCs w:val="20"/>
              </w:rPr>
            </w:pPr>
          </w:p>
          <w:p w14:paraId="2B4DBC8F" w14:textId="77777777" w:rsidR="00641FF8" w:rsidRPr="009D7FD2" w:rsidRDefault="00641FF8" w:rsidP="000B33ED">
            <w:pPr>
              <w:pStyle w:val="ListParagraph"/>
              <w:spacing w:before="120" w:after="120" w:line="240" w:lineRule="auto"/>
              <w:ind w:left="0"/>
              <w:jc w:val="both"/>
              <w:rPr>
                <w:rFonts w:ascii="Times New Roman" w:hAnsi="Times New Roman"/>
                <w:sz w:val="20"/>
                <w:szCs w:val="20"/>
              </w:rPr>
            </w:pPr>
          </w:p>
          <w:p w14:paraId="60477C69" w14:textId="0ECCAEBD" w:rsidR="00641FF8" w:rsidRPr="009D7FD2" w:rsidRDefault="00BE07C9" w:rsidP="000B33ED">
            <w:pPr>
              <w:pStyle w:val="ListParagraph"/>
              <w:spacing w:before="120" w:after="120" w:line="240" w:lineRule="auto"/>
              <w:ind w:left="0"/>
              <w:jc w:val="center"/>
              <w:rPr>
                <w:rFonts w:ascii="Times New Roman" w:hAnsi="Times New Roman"/>
                <w:sz w:val="20"/>
                <w:szCs w:val="20"/>
              </w:rPr>
            </w:pPr>
            <w:r>
              <w:rPr>
                <w:rFonts w:ascii="Times New Roman" w:hAnsi="Times New Roman"/>
                <w:sz w:val="20"/>
                <w:szCs w:val="20"/>
              </w:rPr>
              <w:t>-</w:t>
            </w:r>
          </w:p>
          <w:p w14:paraId="317CA668" w14:textId="77777777" w:rsidR="00641FF8" w:rsidRPr="009D7FD2" w:rsidRDefault="00641FF8" w:rsidP="000B33ED">
            <w:pPr>
              <w:pStyle w:val="ListParagraph"/>
              <w:spacing w:before="120" w:after="120" w:line="240" w:lineRule="auto"/>
              <w:ind w:left="0"/>
              <w:jc w:val="both"/>
              <w:rPr>
                <w:rFonts w:ascii="Times New Roman" w:hAnsi="Times New Roman"/>
                <w:sz w:val="20"/>
                <w:szCs w:val="20"/>
              </w:rPr>
            </w:pPr>
          </w:p>
          <w:p w14:paraId="1608AA97" w14:textId="77777777" w:rsidR="00641FF8" w:rsidRPr="009D7FD2" w:rsidRDefault="00641FF8" w:rsidP="000B33ED">
            <w:pPr>
              <w:pStyle w:val="ListParagraph"/>
              <w:spacing w:before="120" w:after="120" w:line="240" w:lineRule="auto"/>
              <w:ind w:left="0"/>
              <w:jc w:val="both"/>
              <w:rPr>
                <w:rFonts w:ascii="Times New Roman" w:hAnsi="Times New Roman"/>
                <w:sz w:val="20"/>
                <w:szCs w:val="20"/>
              </w:rPr>
            </w:pPr>
          </w:p>
          <w:p w14:paraId="65852F48" w14:textId="77777777" w:rsidR="00641FF8" w:rsidRPr="009D7FD2" w:rsidRDefault="00641FF8" w:rsidP="000B33ED">
            <w:pPr>
              <w:pStyle w:val="ListParagraph"/>
              <w:spacing w:before="120" w:after="120" w:line="240" w:lineRule="auto"/>
              <w:ind w:left="0"/>
              <w:jc w:val="both"/>
              <w:rPr>
                <w:rFonts w:ascii="Times New Roman" w:hAnsi="Times New Roman"/>
                <w:sz w:val="20"/>
                <w:szCs w:val="20"/>
              </w:rPr>
            </w:pPr>
          </w:p>
          <w:p w14:paraId="4173C17C" w14:textId="77777777" w:rsidR="00641FF8" w:rsidRPr="009D7FD2" w:rsidRDefault="00641FF8" w:rsidP="000B33ED">
            <w:pPr>
              <w:pStyle w:val="ListParagraph"/>
              <w:spacing w:before="120" w:after="120" w:line="240" w:lineRule="auto"/>
              <w:ind w:left="0"/>
              <w:jc w:val="both"/>
              <w:rPr>
                <w:rFonts w:ascii="Times New Roman" w:hAnsi="Times New Roman"/>
                <w:sz w:val="20"/>
                <w:szCs w:val="20"/>
              </w:rPr>
            </w:pPr>
          </w:p>
          <w:p w14:paraId="10D29435" w14:textId="77777777" w:rsidR="00641FF8" w:rsidRPr="009D7FD2" w:rsidRDefault="00641FF8" w:rsidP="000B33ED">
            <w:pPr>
              <w:pStyle w:val="ListParagraph"/>
              <w:spacing w:before="120" w:after="120" w:line="240" w:lineRule="auto"/>
              <w:ind w:left="0"/>
              <w:jc w:val="both"/>
              <w:rPr>
                <w:rFonts w:ascii="Times New Roman" w:hAnsi="Times New Roman"/>
                <w:sz w:val="20"/>
                <w:szCs w:val="20"/>
              </w:rPr>
            </w:pPr>
          </w:p>
          <w:p w14:paraId="798C66C7" w14:textId="77777777" w:rsidR="00641FF8" w:rsidRPr="009D7FD2" w:rsidRDefault="00641FF8" w:rsidP="000B33ED">
            <w:pPr>
              <w:pStyle w:val="ListParagraph"/>
              <w:spacing w:before="120" w:after="120" w:line="240" w:lineRule="auto"/>
              <w:ind w:left="0"/>
              <w:jc w:val="both"/>
              <w:rPr>
                <w:rFonts w:ascii="Times New Roman" w:hAnsi="Times New Roman"/>
                <w:sz w:val="20"/>
                <w:szCs w:val="20"/>
              </w:rPr>
            </w:pPr>
          </w:p>
          <w:p w14:paraId="1A4FE2F8" w14:textId="77777777" w:rsidR="00641FF8" w:rsidRPr="009D7FD2" w:rsidRDefault="00641FF8" w:rsidP="000B33ED">
            <w:pPr>
              <w:pStyle w:val="ListParagraph"/>
              <w:spacing w:before="120" w:after="120" w:line="240" w:lineRule="auto"/>
              <w:ind w:left="0"/>
              <w:jc w:val="both"/>
              <w:rPr>
                <w:rFonts w:ascii="Times New Roman" w:hAnsi="Times New Roman"/>
                <w:sz w:val="20"/>
                <w:szCs w:val="20"/>
              </w:rPr>
            </w:pPr>
          </w:p>
          <w:p w14:paraId="05C3158B" w14:textId="77777777" w:rsidR="00641FF8" w:rsidRPr="009D7FD2" w:rsidRDefault="00641FF8" w:rsidP="000B33ED">
            <w:pPr>
              <w:pStyle w:val="ListParagraph"/>
              <w:spacing w:before="120" w:after="120" w:line="240" w:lineRule="auto"/>
              <w:ind w:left="0"/>
              <w:jc w:val="both"/>
              <w:rPr>
                <w:rFonts w:ascii="Times New Roman" w:hAnsi="Times New Roman"/>
                <w:sz w:val="20"/>
                <w:szCs w:val="20"/>
              </w:rPr>
            </w:pPr>
          </w:p>
          <w:p w14:paraId="281E39FB" w14:textId="77777777" w:rsidR="00641FF8" w:rsidRPr="009D7FD2" w:rsidRDefault="00641FF8" w:rsidP="000B33ED">
            <w:pPr>
              <w:pStyle w:val="ListParagraph"/>
              <w:spacing w:before="120" w:after="120" w:line="240" w:lineRule="auto"/>
              <w:ind w:left="0"/>
              <w:jc w:val="both"/>
              <w:rPr>
                <w:rFonts w:ascii="Times New Roman" w:hAnsi="Times New Roman"/>
                <w:sz w:val="20"/>
                <w:szCs w:val="20"/>
              </w:rPr>
            </w:pPr>
          </w:p>
          <w:p w14:paraId="7D8245CA" w14:textId="77777777" w:rsidR="000B33ED" w:rsidRDefault="000B33ED" w:rsidP="000B33ED">
            <w:pPr>
              <w:pStyle w:val="ListParagraph"/>
              <w:spacing w:before="120" w:after="120" w:line="240" w:lineRule="auto"/>
              <w:ind w:left="0"/>
              <w:jc w:val="center"/>
              <w:rPr>
                <w:rFonts w:ascii="Times New Roman" w:hAnsi="Times New Roman"/>
                <w:sz w:val="20"/>
                <w:szCs w:val="20"/>
              </w:rPr>
            </w:pPr>
          </w:p>
          <w:p w14:paraId="09BC6367" w14:textId="77777777" w:rsidR="000B33ED" w:rsidRDefault="000B33ED" w:rsidP="000B33ED">
            <w:pPr>
              <w:pStyle w:val="ListParagraph"/>
              <w:spacing w:before="120" w:after="120" w:line="240" w:lineRule="auto"/>
              <w:ind w:left="0"/>
              <w:jc w:val="center"/>
              <w:rPr>
                <w:rFonts w:ascii="Times New Roman" w:hAnsi="Times New Roman"/>
                <w:sz w:val="20"/>
                <w:szCs w:val="20"/>
              </w:rPr>
            </w:pPr>
          </w:p>
          <w:p w14:paraId="6C4A1349" w14:textId="3EE0E3C2" w:rsidR="00641FF8" w:rsidRPr="009D7FD2" w:rsidRDefault="00BE07C9" w:rsidP="000B33ED">
            <w:pPr>
              <w:pStyle w:val="ListParagraph"/>
              <w:spacing w:before="120" w:after="120" w:line="240" w:lineRule="auto"/>
              <w:ind w:left="0"/>
              <w:jc w:val="center"/>
              <w:rPr>
                <w:rFonts w:ascii="Times New Roman" w:hAnsi="Times New Roman"/>
                <w:sz w:val="20"/>
                <w:szCs w:val="20"/>
              </w:rPr>
            </w:pPr>
            <w:r>
              <w:rPr>
                <w:rFonts w:ascii="Times New Roman" w:hAnsi="Times New Roman"/>
                <w:sz w:val="20"/>
                <w:szCs w:val="20"/>
              </w:rPr>
              <w:t>-</w:t>
            </w:r>
          </w:p>
          <w:p w14:paraId="70D2BB9F" w14:textId="77777777" w:rsidR="00641FF8" w:rsidRDefault="00641FF8" w:rsidP="000B33ED">
            <w:pPr>
              <w:pStyle w:val="ListParagraph"/>
              <w:spacing w:before="120" w:after="120" w:line="240" w:lineRule="auto"/>
              <w:ind w:left="0"/>
              <w:jc w:val="both"/>
              <w:rPr>
                <w:rFonts w:ascii="Times New Roman" w:hAnsi="Times New Roman"/>
                <w:sz w:val="20"/>
                <w:szCs w:val="20"/>
              </w:rPr>
            </w:pPr>
          </w:p>
          <w:p w14:paraId="6B392FA3" w14:textId="77777777" w:rsidR="000B33ED" w:rsidRDefault="000B33ED" w:rsidP="000B33ED">
            <w:pPr>
              <w:pStyle w:val="ListParagraph"/>
              <w:spacing w:before="120" w:after="120" w:line="240" w:lineRule="auto"/>
              <w:ind w:left="0"/>
              <w:jc w:val="both"/>
              <w:rPr>
                <w:rFonts w:ascii="Times New Roman" w:hAnsi="Times New Roman"/>
                <w:sz w:val="20"/>
                <w:szCs w:val="20"/>
              </w:rPr>
            </w:pPr>
          </w:p>
          <w:p w14:paraId="0BE579E7" w14:textId="77777777" w:rsidR="000B33ED" w:rsidRPr="009D7FD2" w:rsidRDefault="000B33ED" w:rsidP="000B33ED">
            <w:pPr>
              <w:pStyle w:val="ListParagraph"/>
              <w:spacing w:before="120" w:after="120" w:line="240" w:lineRule="auto"/>
              <w:ind w:left="0"/>
              <w:jc w:val="both"/>
              <w:rPr>
                <w:rFonts w:ascii="Times New Roman" w:hAnsi="Times New Roman"/>
                <w:sz w:val="20"/>
                <w:szCs w:val="20"/>
              </w:rPr>
            </w:pPr>
          </w:p>
          <w:p w14:paraId="5F74B660" w14:textId="77777777" w:rsidR="00641FF8" w:rsidRPr="009D7FD2" w:rsidRDefault="00641FF8" w:rsidP="000B33ED">
            <w:pPr>
              <w:pStyle w:val="ListParagraph"/>
              <w:spacing w:before="120" w:after="120" w:line="240" w:lineRule="auto"/>
              <w:ind w:left="0"/>
              <w:jc w:val="both"/>
              <w:rPr>
                <w:rFonts w:ascii="Times New Roman" w:hAnsi="Times New Roman"/>
                <w:sz w:val="20"/>
                <w:szCs w:val="20"/>
              </w:rPr>
            </w:pPr>
          </w:p>
          <w:p w14:paraId="79F1A8B9" w14:textId="77777777" w:rsidR="00641FF8" w:rsidRPr="009D7FD2" w:rsidRDefault="00641FF8" w:rsidP="000B33ED">
            <w:pPr>
              <w:pStyle w:val="ListParagraph"/>
              <w:spacing w:before="120" w:after="120" w:line="240" w:lineRule="auto"/>
              <w:ind w:left="0"/>
              <w:jc w:val="both"/>
              <w:rPr>
                <w:rFonts w:ascii="Times New Roman" w:hAnsi="Times New Roman"/>
                <w:sz w:val="20"/>
                <w:szCs w:val="20"/>
              </w:rPr>
            </w:pPr>
          </w:p>
          <w:p w14:paraId="4CDE901D" w14:textId="77777777" w:rsidR="00BE07C9" w:rsidRPr="009D7FD2" w:rsidRDefault="00BE07C9" w:rsidP="000B33ED">
            <w:pPr>
              <w:pStyle w:val="ListParagraph"/>
              <w:spacing w:before="120" w:after="120" w:line="240" w:lineRule="auto"/>
              <w:ind w:left="0"/>
              <w:jc w:val="both"/>
              <w:rPr>
                <w:rFonts w:ascii="Times New Roman" w:hAnsi="Times New Roman"/>
                <w:sz w:val="20"/>
                <w:szCs w:val="20"/>
              </w:rPr>
            </w:pPr>
            <w:r w:rsidRPr="009D7FD2">
              <w:rPr>
                <w:rFonts w:ascii="Times New Roman" w:hAnsi="Times New Roman"/>
                <w:sz w:val="20"/>
                <w:szCs w:val="20"/>
              </w:rPr>
              <w:t xml:space="preserve">(2) În cazul proiectelor prevăzute la alin. (1) și (1^1), sumele cuvenite a fi rambursate beneficiarilor acestor proiecte se fac venit, la o poziție distinctă, în bugetul din care a fost asigurată sursa de finanțare a cheltuielilor sau se transferă în conturile programului operațional 2007-2013 din care a fost finanțat proiectul, conform regulilor de implementare ale programelor operaționale. </w:t>
            </w:r>
          </w:p>
          <w:p w14:paraId="114B7D48" w14:textId="77777777" w:rsidR="00BE07C9" w:rsidRPr="009D7FD2" w:rsidRDefault="00BE07C9" w:rsidP="000B33ED">
            <w:pPr>
              <w:pStyle w:val="ListParagraph"/>
              <w:spacing w:before="120" w:after="120" w:line="240" w:lineRule="auto"/>
              <w:ind w:left="0"/>
              <w:jc w:val="both"/>
              <w:rPr>
                <w:rFonts w:ascii="Times New Roman" w:hAnsi="Times New Roman"/>
                <w:sz w:val="20"/>
                <w:szCs w:val="20"/>
              </w:rPr>
            </w:pPr>
          </w:p>
          <w:p w14:paraId="5D511D5D" w14:textId="32339083" w:rsidR="00641FF8" w:rsidRPr="009D7FD2" w:rsidRDefault="00BE07C9" w:rsidP="000B33ED">
            <w:pPr>
              <w:pStyle w:val="ListParagraph"/>
              <w:spacing w:before="120" w:after="120" w:line="240" w:lineRule="auto"/>
              <w:ind w:left="0"/>
              <w:jc w:val="both"/>
              <w:rPr>
                <w:rFonts w:ascii="Times New Roman" w:hAnsi="Times New Roman"/>
                <w:sz w:val="20"/>
                <w:szCs w:val="20"/>
                <w:shd w:val="clear" w:color="auto" w:fill="FFFFFF"/>
              </w:rPr>
            </w:pPr>
            <w:r w:rsidRPr="009D7FD2">
              <w:rPr>
                <w:rFonts w:ascii="Times New Roman" w:hAnsi="Times New Roman"/>
                <w:sz w:val="20"/>
                <w:szCs w:val="20"/>
              </w:rPr>
              <w:t xml:space="preserve">(3) Prin excepție de la alin. (2), pentru proiectele prevăzute la alin. (1^1), din sumele care se cuvin bugetului de stat, 25% se virează de către ordonatorii principali de credite cu rol de autoritate de management într-un cont distinct de venituri al bugetelor locale ale beneficiarilor unității administrativ-teritoriale și vor fi utilizate pentru finanțarea cheltuielilor secțiunii de dezvoltare a acestor bugete, inclusiv pentru finanțarea părții din proiect rămase de executat la data aprobării finanțării din fonduri europene structurale și de investiții și/sau plata corecțiilor financiare stabilite în cadrul proiectului. Sumele rămase neutilizate se reflectă în excedentul bugetului local și vor fi utilizate în anul </w:t>
            </w:r>
            <w:r w:rsidRPr="009D7FD2">
              <w:rPr>
                <w:rFonts w:ascii="Times New Roman" w:hAnsi="Times New Roman"/>
                <w:sz w:val="20"/>
                <w:szCs w:val="20"/>
              </w:rPr>
              <w:lastRenderedPageBreak/>
              <w:t>următor cu aceeași destinație.</w:t>
            </w:r>
          </w:p>
        </w:tc>
        <w:tc>
          <w:tcPr>
            <w:tcW w:w="6521" w:type="dxa"/>
          </w:tcPr>
          <w:p w14:paraId="0BE0674F" w14:textId="716EB424" w:rsidR="00641FF8" w:rsidRPr="009D7FD2" w:rsidRDefault="00641FF8" w:rsidP="00BD2D5E">
            <w:pPr>
              <w:spacing w:after="0" w:line="240" w:lineRule="auto"/>
              <w:ind w:left="-108"/>
              <w:jc w:val="both"/>
              <w:rPr>
                <w:rFonts w:ascii="Times New Roman" w:hAnsi="Times New Roman"/>
                <w:b/>
                <w:i/>
                <w:sz w:val="20"/>
                <w:szCs w:val="20"/>
              </w:rPr>
            </w:pPr>
            <w:r w:rsidRPr="009D7FD2">
              <w:rPr>
                <w:rFonts w:ascii="Times New Roman" w:hAnsi="Times New Roman"/>
                <w:sz w:val="20"/>
                <w:szCs w:val="20"/>
              </w:rPr>
              <w:lastRenderedPageBreak/>
              <w:t xml:space="preserve">Ținând cont de faptul că alocarea financiară pentru Programul Operațional Infrastructură Mare (POIM) este de 9,21 miliarde de euro, însă, la sfârșitul anului 2020, există un risc de dezangajare automată în cuantum de aproximativ 1 miliard de euro, se impune adoptarea de măsuri în vederea evitării dezangajării si a îmbunătățirii ratei de absorbție a fondurilor alocate prin POIM până la atingerea și chiar depășirea țintelor asumate de România pentru acest program. </w:t>
            </w:r>
          </w:p>
        </w:tc>
      </w:tr>
      <w:tr w:rsidR="009D7FD2" w:rsidRPr="009D7FD2" w14:paraId="227F082F" w14:textId="77777777" w:rsidTr="004D4286">
        <w:trPr>
          <w:trHeight w:val="849"/>
        </w:trPr>
        <w:tc>
          <w:tcPr>
            <w:tcW w:w="568" w:type="dxa"/>
            <w:vAlign w:val="center"/>
          </w:tcPr>
          <w:p w14:paraId="473438EA" w14:textId="2943C89D" w:rsidR="00641FF8" w:rsidRPr="009D7FD2" w:rsidRDefault="002D5106" w:rsidP="00BD2D5E">
            <w:pPr>
              <w:spacing w:after="0" w:line="240" w:lineRule="auto"/>
              <w:jc w:val="center"/>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lastRenderedPageBreak/>
              <w:t>20</w:t>
            </w:r>
          </w:p>
        </w:tc>
        <w:tc>
          <w:tcPr>
            <w:tcW w:w="4678" w:type="dxa"/>
          </w:tcPr>
          <w:p w14:paraId="7E69A7BF" w14:textId="45D05631" w:rsidR="00641FF8" w:rsidRPr="009D7FD2" w:rsidRDefault="00641FF8" w:rsidP="000B33ED">
            <w:pPr>
              <w:pStyle w:val="ListParagraph"/>
              <w:spacing w:before="120" w:after="120" w:line="240" w:lineRule="auto"/>
              <w:ind w:left="0"/>
              <w:jc w:val="both"/>
              <w:rPr>
                <w:rFonts w:ascii="Times New Roman" w:hAnsi="Times New Roman"/>
                <w:sz w:val="20"/>
                <w:szCs w:val="20"/>
              </w:rPr>
            </w:pPr>
            <w:r w:rsidRPr="009D7FD2">
              <w:rPr>
                <w:rFonts w:ascii="Times New Roman" w:hAnsi="Times New Roman"/>
                <w:sz w:val="20"/>
                <w:szCs w:val="20"/>
              </w:rPr>
              <w:t>II. Ordonanța de urgență a Guvernului nr.</w:t>
            </w:r>
            <w:r w:rsidR="000B33ED">
              <w:rPr>
                <w:rFonts w:ascii="Times New Roman" w:hAnsi="Times New Roman"/>
                <w:sz w:val="20"/>
                <w:szCs w:val="20"/>
              </w:rPr>
              <w:t xml:space="preserve"> </w:t>
            </w:r>
            <w:r w:rsidRPr="009D7FD2">
              <w:rPr>
                <w:rFonts w:ascii="Times New Roman" w:hAnsi="Times New Roman"/>
                <w:sz w:val="20"/>
                <w:szCs w:val="20"/>
              </w:rPr>
              <w:t>47/2013 privind unele măsuri în domeniul instrumentelor structurale care privesc beneficiarii direcți finanțați din fonduri externe nerambursabile, precum şi unele măsuri financiare în domeniul ex-ISPA din sectorul transporturi</w:t>
            </w:r>
          </w:p>
          <w:p w14:paraId="7302E67F" w14:textId="77777777" w:rsidR="000B33ED" w:rsidRPr="009D7FD2" w:rsidRDefault="000B33ED" w:rsidP="000B33ED">
            <w:pPr>
              <w:spacing w:before="120" w:after="120" w:line="240" w:lineRule="auto"/>
              <w:jc w:val="both"/>
              <w:rPr>
                <w:rFonts w:ascii="Times New Roman" w:eastAsia="Times New Roman" w:hAnsi="Times New Roman"/>
                <w:noProof/>
                <w:sz w:val="20"/>
                <w:szCs w:val="20"/>
              </w:rPr>
            </w:pPr>
            <w:r w:rsidRPr="009D7FD2">
              <w:rPr>
                <w:rFonts w:ascii="Times New Roman" w:eastAsia="Times New Roman" w:hAnsi="Times New Roman"/>
                <w:noProof/>
                <w:sz w:val="20"/>
                <w:szCs w:val="20"/>
              </w:rPr>
              <w:t>Art. 20 - (1) Implementarea proiectelor ex-ISPA se asigură până la data de 31 decembrie 2022.</w:t>
            </w:r>
          </w:p>
          <w:p w14:paraId="36553ED4" w14:textId="51519AD6" w:rsidR="00641FF8" w:rsidRPr="009D7FD2" w:rsidRDefault="000B33ED" w:rsidP="000B33ED">
            <w:pPr>
              <w:pStyle w:val="ListParagraph"/>
              <w:spacing w:before="120" w:after="120" w:line="240" w:lineRule="auto"/>
              <w:ind w:left="0"/>
              <w:jc w:val="both"/>
              <w:rPr>
                <w:rFonts w:ascii="Times New Roman" w:hAnsi="Times New Roman"/>
                <w:sz w:val="20"/>
                <w:szCs w:val="20"/>
              </w:rPr>
            </w:pPr>
            <w:r w:rsidRPr="009D7FD2">
              <w:rPr>
                <w:rFonts w:ascii="Times New Roman" w:hAnsi="Times New Roman"/>
                <w:sz w:val="20"/>
                <w:szCs w:val="20"/>
              </w:rPr>
              <w:t>(</w:t>
            </w:r>
            <w:r w:rsidRPr="009D7FD2">
              <w:rPr>
                <w:rFonts w:ascii="Times New Roman" w:eastAsia="Times New Roman" w:hAnsi="Times New Roman"/>
                <w:noProof/>
                <w:sz w:val="20"/>
                <w:szCs w:val="20"/>
              </w:rPr>
              <w:t>2) Ordonatorii principali de credite din bugetele cărora se asigură finanțarea cheltuielilor destinate finalizării proiectelor ex-ISPA au obligația să asigure cu prioritate sume în bugetul propriu astfel încât proiectele să fie implementate până la data de 31 decembrie 2022.</w:t>
            </w:r>
          </w:p>
          <w:p w14:paraId="397856EE" w14:textId="1E4AC1B1" w:rsidR="00641FF8" w:rsidRPr="009D7FD2" w:rsidRDefault="00641FF8" w:rsidP="000B33ED">
            <w:pPr>
              <w:pStyle w:val="Header"/>
              <w:spacing w:before="120" w:after="120"/>
              <w:jc w:val="both"/>
              <w:rPr>
                <w:rFonts w:ascii="Times New Roman" w:hAnsi="Times New Roman"/>
                <w:sz w:val="20"/>
                <w:szCs w:val="20"/>
              </w:rPr>
            </w:pPr>
          </w:p>
        </w:tc>
        <w:tc>
          <w:tcPr>
            <w:tcW w:w="3827" w:type="dxa"/>
          </w:tcPr>
          <w:p w14:paraId="6D524CA5" w14:textId="77777777" w:rsidR="00641FF8" w:rsidRPr="009D7FD2" w:rsidRDefault="00641FF8" w:rsidP="000B33ED">
            <w:pPr>
              <w:spacing w:before="120" w:after="120" w:line="240" w:lineRule="auto"/>
              <w:jc w:val="both"/>
              <w:rPr>
                <w:rFonts w:ascii="Times New Roman" w:hAnsi="Times New Roman"/>
                <w:sz w:val="20"/>
                <w:szCs w:val="20"/>
              </w:rPr>
            </w:pPr>
          </w:p>
          <w:p w14:paraId="09534045" w14:textId="77777777" w:rsidR="00641FF8" w:rsidRPr="009D7FD2" w:rsidRDefault="00641FF8" w:rsidP="000B33ED">
            <w:pPr>
              <w:spacing w:before="120" w:after="120" w:line="240" w:lineRule="auto"/>
              <w:jc w:val="both"/>
              <w:rPr>
                <w:rFonts w:ascii="Times New Roman" w:hAnsi="Times New Roman"/>
                <w:sz w:val="20"/>
                <w:szCs w:val="20"/>
              </w:rPr>
            </w:pPr>
          </w:p>
          <w:p w14:paraId="59D540F3" w14:textId="77777777" w:rsidR="00641FF8" w:rsidRPr="009D7FD2" w:rsidRDefault="00641FF8" w:rsidP="000B33ED">
            <w:pPr>
              <w:spacing w:before="120" w:after="120" w:line="240" w:lineRule="auto"/>
              <w:jc w:val="both"/>
              <w:rPr>
                <w:rFonts w:ascii="Times New Roman" w:hAnsi="Times New Roman"/>
                <w:sz w:val="20"/>
                <w:szCs w:val="20"/>
              </w:rPr>
            </w:pPr>
          </w:p>
          <w:p w14:paraId="652998B8" w14:textId="77777777" w:rsidR="00641FF8" w:rsidRPr="009D7FD2" w:rsidRDefault="00641FF8" w:rsidP="000B33ED">
            <w:pPr>
              <w:spacing w:before="120" w:after="120" w:line="240" w:lineRule="auto"/>
              <w:jc w:val="both"/>
              <w:rPr>
                <w:rFonts w:ascii="Times New Roman" w:hAnsi="Times New Roman"/>
                <w:sz w:val="20"/>
                <w:szCs w:val="20"/>
              </w:rPr>
            </w:pPr>
          </w:p>
          <w:p w14:paraId="34F571C0" w14:textId="77777777" w:rsidR="000B33ED" w:rsidRPr="009D7FD2" w:rsidRDefault="000B33ED" w:rsidP="000B33ED">
            <w:pPr>
              <w:spacing w:before="120" w:after="120" w:line="240" w:lineRule="auto"/>
              <w:jc w:val="both"/>
              <w:rPr>
                <w:rFonts w:ascii="Times New Roman" w:hAnsi="Times New Roman"/>
                <w:sz w:val="20"/>
                <w:szCs w:val="20"/>
              </w:rPr>
            </w:pPr>
            <w:r w:rsidRPr="009D7FD2">
              <w:rPr>
                <w:rFonts w:ascii="Times New Roman" w:hAnsi="Times New Roman"/>
                <w:sz w:val="20"/>
                <w:szCs w:val="20"/>
              </w:rPr>
              <w:t>Art. 20 - (1) Implementarea proiectelor ex-ISPA se asigură până la data de 31 decembrie 2019.</w:t>
            </w:r>
          </w:p>
          <w:p w14:paraId="58ABADD8" w14:textId="4719B368" w:rsidR="00641FF8" w:rsidRPr="009D7FD2" w:rsidRDefault="000B33ED" w:rsidP="000B33ED">
            <w:pPr>
              <w:pStyle w:val="Header"/>
              <w:spacing w:before="120" w:after="120"/>
              <w:jc w:val="both"/>
              <w:rPr>
                <w:rFonts w:ascii="Times New Roman" w:hAnsi="Times New Roman"/>
                <w:sz w:val="20"/>
                <w:szCs w:val="20"/>
              </w:rPr>
            </w:pPr>
            <w:r w:rsidRPr="009D7FD2">
              <w:rPr>
                <w:rFonts w:ascii="Times New Roman" w:hAnsi="Times New Roman"/>
                <w:sz w:val="20"/>
                <w:szCs w:val="20"/>
              </w:rPr>
              <w:t>(2) Ordonatorii principali de credite din bugetele cărora se asigură finanțarea cheltuielilor destinate finalizării proiectelor ex-ISPA au obligația să asigure cu prioritate sume în bugetul propriu astfel încât proiectele să fie implementate până la data de 31 decembrie 2019.</w:t>
            </w:r>
          </w:p>
        </w:tc>
        <w:tc>
          <w:tcPr>
            <w:tcW w:w="6521" w:type="dxa"/>
          </w:tcPr>
          <w:p w14:paraId="6CE897A9" w14:textId="77777777" w:rsidR="00641FF8" w:rsidRPr="009D7FD2" w:rsidRDefault="00641FF8" w:rsidP="00BD2D5E">
            <w:pPr>
              <w:spacing w:before="120" w:after="120"/>
              <w:jc w:val="both"/>
              <w:rPr>
                <w:rFonts w:ascii="Times New Roman" w:hAnsi="Times New Roman"/>
                <w:sz w:val="20"/>
                <w:szCs w:val="20"/>
              </w:rPr>
            </w:pPr>
          </w:p>
          <w:p w14:paraId="320F2C0D" w14:textId="77777777" w:rsidR="00641FF8" w:rsidRPr="009D7FD2" w:rsidRDefault="00641FF8" w:rsidP="00BD2D5E">
            <w:pPr>
              <w:spacing w:before="120" w:after="120"/>
              <w:jc w:val="both"/>
              <w:rPr>
                <w:rFonts w:ascii="Times New Roman" w:hAnsi="Times New Roman"/>
                <w:sz w:val="20"/>
                <w:szCs w:val="20"/>
              </w:rPr>
            </w:pPr>
          </w:p>
          <w:p w14:paraId="0B19B9BB" w14:textId="77777777" w:rsidR="00641FF8" w:rsidRPr="009D7FD2" w:rsidRDefault="00641FF8" w:rsidP="00BD2D5E">
            <w:pPr>
              <w:spacing w:before="120" w:after="120"/>
              <w:jc w:val="both"/>
              <w:rPr>
                <w:rFonts w:ascii="Times New Roman" w:hAnsi="Times New Roman"/>
                <w:sz w:val="20"/>
                <w:szCs w:val="20"/>
              </w:rPr>
            </w:pPr>
          </w:p>
          <w:p w14:paraId="74F6E797" w14:textId="77777777" w:rsidR="00641FF8" w:rsidRPr="009D7FD2" w:rsidRDefault="00641FF8" w:rsidP="00BD2D5E">
            <w:pPr>
              <w:spacing w:before="120" w:after="120"/>
              <w:jc w:val="both"/>
              <w:rPr>
                <w:rFonts w:ascii="Times New Roman" w:hAnsi="Times New Roman"/>
                <w:sz w:val="20"/>
                <w:szCs w:val="20"/>
              </w:rPr>
            </w:pPr>
          </w:p>
          <w:p w14:paraId="3F1F6F96" w14:textId="77777777" w:rsidR="00641FF8" w:rsidRPr="009D7FD2" w:rsidRDefault="00641FF8" w:rsidP="00BD2D5E">
            <w:pPr>
              <w:spacing w:before="120" w:after="120"/>
              <w:jc w:val="both"/>
              <w:rPr>
                <w:rFonts w:ascii="Times New Roman" w:hAnsi="Times New Roman"/>
                <w:sz w:val="20"/>
                <w:szCs w:val="20"/>
              </w:rPr>
            </w:pPr>
          </w:p>
          <w:p w14:paraId="4D3918F3" w14:textId="34089E57" w:rsidR="00641FF8" w:rsidRPr="009D7FD2" w:rsidRDefault="00641FF8" w:rsidP="00BD2D5E">
            <w:pPr>
              <w:spacing w:before="120" w:after="120"/>
              <w:jc w:val="both"/>
              <w:rPr>
                <w:rFonts w:ascii="Times New Roman" w:hAnsi="Times New Roman"/>
                <w:sz w:val="20"/>
                <w:szCs w:val="20"/>
              </w:rPr>
            </w:pPr>
            <w:r w:rsidRPr="009D7FD2">
              <w:rPr>
                <w:rFonts w:ascii="Times New Roman" w:hAnsi="Times New Roman"/>
                <w:sz w:val="20"/>
                <w:szCs w:val="20"/>
              </w:rPr>
              <w:t>În vederea evitării riscului dezangajării cheltuielilor aferente proiectelor ex-ISPA nefinalizate fapt care ar afecta semnificativ bugetul de stat, se propune modificarea art. 20 din Ordonanța de urgență a Guvernului nr. 47/2013 prin prelungirea termenului de implementare până la data de 31 decembrie 2022.</w:t>
            </w:r>
          </w:p>
        </w:tc>
      </w:tr>
      <w:tr w:rsidR="009D7FD2" w:rsidRPr="009D7FD2" w14:paraId="0F987828" w14:textId="77777777" w:rsidTr="00097DA3">
        <w:trPr>
          <w:trHeight w:val="666"/>
        </w:trPr>
        <w:tc>
          <w:tcPr>
            <w:tcW w:w="15594" w:type="dxa"/>
            <w:gridSpan w:val="4"/>
            <w:vAlign w:val="center"/>
          </w:tcPr>
          <w:p w14:paraId="360C43F9" w14:textId="7AE6B19E" w:rsidR="006A11D0" w:rsidRPr="009D7FD2" w:rsidRDefault="006A11D0" w:rsidP="00097DA3">
            <w:pPr>
              <w:widowControl w:val="0"/>
              <w:spacing w:after="0" w:line="240" w:lineRule="auto"/>
              <w:jc w:val="both"/>
              <w:rPr>
                <w:rFonts w:ascii="Times New Roman" w:hAnsi="Times New Roman"/>
                <w:sz w:val="20"/>
                <w:szCs w:val="20"/>
              </w:rPr>
            </w:pPr>
            <w:r w:rsidRPr="009D7FD2">
              <w:rPr>
                <w:rFonts w:ascii="Times New Roman" w:hAnsi="Times New Roman"/>
                <w:b/>
                <w:sz w:val="20"/>
                <w:szCs w:val="20"/>
              </w:rPr>
              <w:t>ART. X</w:t>
            </w:r>
            <w:r w:rsidRPr="009D7FD2">
              <w:rPr>
                <w:rFonts w:ascii="Times New Roman" w:hAnsi="Times New Roman"/>
                <w:sz w:val="20"/>
                <w:szCs w:val="20"/>
              </w:rPr>
              <w:t xml:space="preserve">  Ordonanța de urgență a Guvernului nr. 26/2012 </w:t>
            </w:r>
            <w:r w:rsidRPr="009D7FD2">
              <w:rPr>
                <w:rFonts w:ascii="Times New Roman" w:eastAsia="Times New Roman" w:hAnsi="Times New Roman"/>
                <w:sz w:val="20"/>
                <w:szCs w:val="20"/>
              </w:rPr>
              <w:t>privind unele măsuri de reducere a cheltuielilor publice și întărirea disciplinei financiare și de modificare și completare a unor acte normative,</w:t>
            </w:r>
            <w:r w:rsidRPr="009D7FD2">
              <w:rPr>
                <w:rFonts w:ascii="Times New Roman" w:hAnsi="Times New Roman"/>
                <w:sz w:val="20"/>
                <w:szCs w:val="20"/>
              </w:rPr>
              <w:t xml:space="preserve"> cu modificările și completările ulterioare, se modifică și va avea următorul cuprins: </w:t>
            </w:r>
          </w:p>
        </w:tc>
      </w:tr>
      <w:tr w:rsidR="009D7FD2" w:rsidRPr="009D7FD2" w14:paraId="23258EAE" w14:textId="77777777" w:rsidTr="006A11D0">
        <w:trPr>
          <w:trHeight w:val="497"/>
        </w:trPr>
        <w:tc>
          <w:tcPr>
            <w:tcW w:w="568" w:type="dxa"/>
            <w:vAlign w:val="center"/>
          </w:tcPr>
          <w:p w14:paraId="796B95C6" w14:textId="53D2EE6A" w:rsidR="00D32758" w:rsidRPr="009D7FD2" w:rsidRDefault="00D32758" w:rsidP="00D5031C">
            <w:pPr>
              <w:spacing w:after="0" w:line="240" w:lineRule="auto"/>
              <w:jc w:val="center"/>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t>21</w:t>
            </w:r>
          </w:p>
        </w:tc>
        <w:tc>
          <w:tcPr>
            <w:tcW w:w="4678" w:type="dxa"/>
          </w:tcPr>
          <w:p w14:paraId="550F79B2" w14:textId="4393F5ED" w:rsidR="00D32758" w:rsidRPr="009D7FD2" w:rsidRDefault="00D32758" w:rsidP="00D5031C">
            <w:pPr>
              <w:widowControl w:val="0"/>
              <w:spacing w:after="0" w:line="240" w:lineRule="auto"/>
              <w:jc w:val="both"/>
              <w:rPr>
                <w:rFonts w:ascii="Times New Roman" w:hAnsi="Times New Roman"/>
                <w:b/>
                <w:sz w:val="20"/>
                <w:szCs w:val="20"/>
              </w:rPr>
            </w:pPr>
            <w:r w:rsidRPr="009D7FD2">
              <w:rPr>
                <w:rFonts w:ascii="Times New Roman" w:hAnsi="Times New Roman"/>
                <w:b/>
                <w:sz w:val="20"/>
                <w:szCs w:val="20"/>
                <w:bdr w:val="none" w:sz="0" w:space="0" w:color="auto" w:frame="1"/>
                <w:shd w:val="clear" w:color="auto" w:fill="FFFFFF"/>
              </w:rPr>
              <w:t xml:space="preserve">Art. V alin.(3) </w:t>
            </w:r>
          </w:p>
          <w:p w14:paraId="2F5DD5D3" w14:textId="7B20CEE5" w:rsidR="00D32758" w:rsidRPr="009D7FD2" w:rsidRDefault="00D32758" w:rsidP="00D5031C">
            <w:pPr>
              <w:autoSpaceDE w:val="0"/>
              <w:autoSpaceDN w:val="0"/>
              <w:adjustRightInd w:val="0"/>
              <w:spacing w:after="0" w:line="240" w:lineRule="auto"/>
              <w:jc w:val="both"/>
              <w:rPr>
                <w:rFonts w:ascii="Times New Roman" w:hAnsi="Times New Roman"/>
                <w:sz w:val="20"/>
                <w:szCs w:val="20"/>
              </w:rPr>
            </w:pPr>
            <w:r w:rsidRPr="009D7FD2">
              <w:rPr>
                <w:rFonts w:ascii="Times New Roman" w:hAnsi="Times New Roman"/>
                <w:sz w:val="20"/>
                <w:szCs w:val="20"/>
              </w:rPr>
              <w:t>”</w:t>
            </w:r>
            <w:r w:rsidRPr="009D7FD2">
              <w:rPr>
                <w:rFonts w:ascii="Times New Roman" w:eastAsia="Times New Roman" w:hAnsi="Times New Roman"/>
                <w:sz w:val="20"/>
                <w:szCs w:val="20"/>
                <w:bdr w:val="none" w:sz="0" w:space="0" w:color="auto" w:frame="1"/>
                <w:shd w:val="clear" w:color="auto" w:fill="FFFFFF"/>
              </w:rPr>
              <w:t>(3) Sunt exceptate de la prevederile </w:t>
            </w:r>
            <w:r w:rsidRPr="009D7FD2">
              <w:rPr>
                <w:rFonts w:ascii="Times New Roman" w:eastAsia="Times New Roman" w:hAnsi="Times New Roman"/>
                <w:sz w:val="20"/>
                <w:szCs w:val="20"/>
                <w:u w:val="single"/>
                <w:bdr w:val="none" w:sz="0" w:space="0" w:color="auto" w:frame="1"/>
                <w:shd w:val="clear" w:color="auto" w:fill="FFFFFF"/>
              </w:rPr>
              <w:t>alin. (1)</w:t>
            </w:r>
            <w:r w:rsidRPr="009D7FD2">
              <w:rPr>
                <w:rFonts w:ascii="Times New Roman" w:eastAsia="Times New Roman" w:hAnsi="Times New Roman"/>
                <w:sz w:val="20"/>
                <w:szCs w:val="20"/>
                <w:bdr w:val="none" w:sz="0" w:space="0" w:color="auto" w:frame="1"/>
                <w:shd w:val="clear" w:color="auto" w:fill="FFFFFF"/>
              </w:rPr>
              <w:t> și </w:t>
            </w:r>
            <w:r w:rsidRPr="009D7FD2">
              <w:rPr>
                <w:rFonts w:ascii="Times New Roman" w:eastAsia="Times New Roman" w:hAnsi="Times New Roman"/>
                <w:sz w:val="20"/>
                <w:szCs w:val="20"/>
                <w:u w:val="single"/>
                <w:bdr w:val="none" w:sz="0" w:space="0" w:color="auto" w:frame="1"/>
                <w:shd w:val="clear" w:color="auto" w:fill="FFFFFF"/>
              </w:rPr>
              <w:t>(2)</w:t>
            </w:r>
            <w:r w:rsidRPr="009D7FD2">
              <w:rPr>
                <w:rFonts w:ascii="Times New Roman" w:eastAsia="Times New Roman" w:hAnsi="Times New Roman"/>
                <w:sz w:val="20"/>
                <w:szCs w:val="20"/>
                <w:bdr w:val="none" w:sz="0" w:space="0" w:color="auto" w:frame="1"/>
                <w:shd w:val="clear" w:color="auto" w:fill="FFFFFF"/>
              </w:rPr>
              <w:t> studiile întocmite în vederea accesării de fonduri externe nerambursabile, cele finanțate din fonduri externe rambursabile,</w:t>
            </w:r>
            <w:r w:rsidRPr="009D7FD2">
              <w:rPr>
                <w:rFonts w:ascii="Times New Roman" w:hAnsi="Times New Roman"/>
                <w:sz w:val="20"/>
                <w:szCs w:val="20"/>
                <w:bdr w:val="none" w:sz="0" w:space="0" w:color="auto" w:frame="1"/>
                <w:shd w:val="clear" w:color="auto" w:fill="FFFFFF"/>
              </w:rPr>
              <w:t xml:space="preserve"> precum și cele aferente </w:t>
            </w:r>
            <w:r w:rsidRPr="009D7FD2">
              <w:rPr>
                <w:rFonts w:ascii="Times New Roman" w:eastAsia="Times New Roman" w:hAnsi="Times New Roman"/>
                <w:sz w:val="20"/>
                <w:szCs w:val="20"/>
                <w:bdr w:val="none" w:sz="0" w:space="0" w:color="auto" w:frame="1"/>
                <w:shd w:val="clear" w:color="auto" w:fill="FFFFFF"/>
              </w:rPr>
              <w:t xml:space="preserve"> </w:t>
            </w:r>
            <w:r w:rsidRPr="009D7FD2">
              <w:rPr>
                <w:rFonts w:ascii="Times New Roman" w:hAnsi="Times New Roman"/>
                <w:sz w:val="20"/>
                <w:szCs w:val="20"/>
                <w:bdr w:val="none" w:sz="0" w:space="0" w:color="auto" w:frame="1"/>
                <w:shd w:val="clear" w:color="auto" w:fill="FFFFFF"/>
              </w:rPr>
              <w:t>proiectelor strategice regionale.</w:t>
            </w:r>
            <w:r w:rsidRPr="009D7FD2">
              <w:rPr>
                <w:rFonts w:ascii="Times New Roman" w:hAnsi="Times New Roman"/>
                <w:sz w:val="20"/>
                <w:szCs w:val="20"/>
              </w:rPr>
              <w:t>”</w:t>
            </w:r>
          </w:p>
        </w:tc>
        <w:tc>
          <w:tcPr>
            <w:tcW w:w="3827" w:type="dxa"/>
          </w:tcPr>
          <w:p w14:paraId="06982078" w14:textId="59F48304" w:rsidR="00D32758" w:rsidRPr="009D7FD2" w:rsidRDefault="00D32758" w:rsidP="000B33ED">
            <w:pPr>
              <w:widowControl w:val="0"/>
              <w:spacing w:after="0" w:line="240" w:lineRule="auto"/>
              <w:jc w:val="both"/>
              <w:rPr>
                <w:rFonts w:ascii="Times New Roman" w:hAnsi="Times New Roman"/>
                <w:b/>
                <w:sz w:val="20"/>
                <w:szCs w:val="20"/>
              </w:rPr>
            </w:pPr>
            <w:r w:rsidRPr="009D7FD2">
              <w:rPr>
                <w:rFonts w:ascii="Times New Roman" w:hAnsi="Times New Roman"/>
                <w:b/>
                <w:sz w:val="20"/>
                <w:szCs w:val="20"/>
                <w:bdr w:val="none" w:sz="0" w:space="0" w:color="auto" w:frame="1"/>
                <w:shd w:val="clear" w:color="auto" w:fill="FFFFFF"/>
              </w:rPr>
              <w:t>Art. V alin.</w:t>
            </w:r>
            <w:r w:rsidR="004A4154">
              <w:rPr>
                <w:rFonts w:ascii="Times New Roman" w:hAnsi="Times New Roman"/>
                <w:b/>
                <w:sz w:val="20"/>
                <w:szCs w:val="20"/>
                <w:bdr w:val="none" w:sz="0" w:space="0" w:color="auto" w:frame="1"/>
                <w:shd w:val="clear" w:color="auto" w:fill="FFFFFF"/>
              </w:rPr>
              <w:t xml:space="preserve"> </w:t>
            </w:r>
            <w:r w:rsidRPr="009D7FD2">
              <w:rPr>
                <w:rFonts w:ascii="Times New Roman" w:hAnsi="Times New Roman"/>
                <w:b/>
                <w:sz w:val="20"/>
                <w:szCs w:val="20"/>
                <w:bdr w:val="none" w:sz="0" w:space="0" w:color="auto" w:frame="1"/>
                <w:shd w:val="clear" w:color="auto" w:fill="FFFFFF"/>
              </w:rPr>
              <w:t xml:space="preserve">(3) </w:t>
            </w:r>
          </w:p>
          <w:p w14:paraId="3DE0D419" w14:textId="49C79BB4" w:rsidR="00D32758" w:rsidRPr="009D7FD2" w:rsidRDefault="00D32758" w:rsidP="000B33ED">
            <w:pPr>
              <w:spacing w:after="0" w:line="240" w:lineRule="auto"/>
              <w:jc w:val="both"/>
              <w:rPr>
                <w:rFonts w:ascii="Times New Roman" w:hAnsi="Times New Roman"/>
                <w:sz w:val="20"/>
                <w:szCs w:val="20"/>
              </w:rPr>
            </w:pPr>
            <w:r w:rsidRPr="009D7FD2">
              <w:rPr>
                <w:rFonts w:ascii="Times New Roman" w:hAnsi="Times New Roman"/>
                <w:sz w:val="20"/>
                <w:szCs w:val="20"/>
              </w:rPr>
              <w:t>”</w:t>
            </w:r>
            <w:r w:rsidRPr="009D7FD2">
              <w:rPr>
                <w:rFonts w:ascii="Times New Roman" w:eastAsia="Times New Roman" w:hAnsi="Times New Roman"/>
                <w:sz w:val="20"/>
                <w:szCs w:val="20"/>
                <w:bdr w:val="none" w:sz="0" w:space="0" w:color="auto" w:frame="1"/>
                <w:shd w:val="clear" w:color="auto" w:fill="FFFFFF"/>
              </w:rPr>
              <w:t>(3) Sunt exceptate de la prevederile </w:t>
            </w:r>
            <w:r w:rsidRPr="009D7FD2">
              <w:rPr>
                <w:rFonts w:ascii="Times New Roman" w:eastAsia="Times New Roman" w:hAnsi="Times New Roman"/>
                <w:sz w:val="20"/>
                <w:szCs w:val="20"/>
                <w:u w:val="single"/>
                <w:bdr w:val="none" w:sz="0" w:space="0" w:color="auto" w:frame="1"/>
                <w:shd w:val="clear" w:color="auto" w:fill="FFFFFF"/>
              </w:rPr>
              <w:t>alin. (1)</w:t>
            </w:r>
            <w:r w:rsidRPr="009D7FD2">
              <w:rPr>
                <w:rFonts w:ascii="Times New Roman" w:eastAsia="Times New Roman" w:hAnsi="Times New Roman"/>
                <w:sz w:val="20"/>
                <w:szCs w:val="20"/>
                <w:bdr w:val="none" w:sz="0" w:space="0" w:color="auto" w:frame="1"/>
                <w:shd w:val="clear" w:color="auto" w:fill="FFFFFF"/>
              </w:rPr>
              <w:t> și </w:t>
            </w:r>
            <w:r w:rsidRPr="009D7FD2">
              <w:rPr>
                <w:rFonts w:ascii="Times New Roman" w:eastAsia="Times New Roman" w:hAnsi="Times New Roman"/>
                <w:sz w:val="20"/>
                <w:szCs w:val="20"/>
                <w:u w:val="single"/>
                <w:bdr w:val="none" w:sz="0" w:space="0" w:color="auto" w:frame="1"/>
                <w:shd w:val="clear" w:color="auto" w:fill="FFFFFF"/>
              </w:rPr>
              <w:t>(2)</w:t>
            </w:r>
            <w:r w:rsidRPr="009D7FD2">
              <w:rPr>
                <w:rFonts w:ascii="Times New Roman" w:eastAsia="Times New Roman" w:hAnsi="Times New Roman"/>
                <w:sz w:val="20"/>
                <w:szCs w:val="20"/>
                <w:bdr w:val="none" w:sz="0" w:space="0" w:color="auto" w:frame="1"/>
                <w:shd w:val="clear" w:color="auto" w:fill="FFFFFF"/>
              </w:rPr>
              <w:t> studiile întocmite în vederea accesării de fonduri externe nerambursabile, precum și cele finanțate din fonduri externe rambursabile.</w:t>
            </w:r>
            <w:r w:rsidRPr="009D7FD2">
              <w:rPr>
                <w:rFonts w:ascii="Times New Roman" w:hAnsi="Times New Roman"/>
                <w:sz w:val="20"/>
                <w:szCs w:val="20"/>
              </w:rPr>
              <w:t>”</w:t>
            </w:r>
          </w:p>
        </w:tc>
        <w:tc>
          <w:tcPr>
            <w:tcW w:w="6521" w:type="dxa"/>
            <w:vMerge w:val="restart"/>
          </w:tcPr>
          <w:p w14:paraId="753591C1" w14:textId="0CF7C396" w:rsidR="00D32758" w:rsidRPr="009D7FD2" w:rsidRDefault="00D32758" w:rsidP="00D5031C">
            <w:pPr>
              <w:spacing w:after="0" w:line="240" w:lineRule="auto"/>
              <w:jc w:val="both"/>
              <w:rPr>
                <w:rFonts w:ascii="Times New Roman" w:hAnsi="Times New Roman"/>
                <w:sz w:val="20"/>
                <w:szCs w:val="20"/>
              </w:rPr>
            </w:pPr>
            <w:r w:rsidRPr="009D7FD2">
              <w:rPr>
                <w:rFonts w:ascii="Times New Roman" w:hAnsi="Times New Roman"/>
                <w:sz w:val="20"/>
                <w:szCs w:val="20"/>
              </w:rPr>
              <w:t>OUG nr. 26/2012 interzice a</w:t>
            </w:r>
            <w:r w:rsidRPr="009D7FD2">
              <w:rPr>
                <w:rFonts w:ascii="Times New Roman" w:eastAsia="Times New Roman" w:hAnsi="Times New Roman"/>
                <w:sz w:val="20"/>
                <w:szCs w:val="20"/>
              </w:rPr>
              <w:t>utorităților și instituțiilor publice ale administrației publice centrale și locale, indiferent de modul de finanțare și subordonare, efectuarea de cheltuieli pentru achiziționarea și/sau elaborarea studiilor de prefezabilitate, a studiilor de fezabilitate și a altor studii aferente obiectivelor de investiții</w:t>
            </w:r>
            <w:r w:rsidRPr="009D7FD2">
              <w:rPr>
                <w:rFonts w:ascii="Times New Roman" w:hAnsi="Times New Roman"/>
                <w:sz w:val="20"/>
                <w:szCs w:val="20"/>
              </w:rPr>
              <w:t xml:space="preserve"> a căror finanțate nu poate fi asigurată integral conform documentației tehnico-economice aprobate. Deși sunt exceptate </w:t>
            </w:r>
            <w:r w:rsidRPr="009D7FD2">
              <w:rPr>
                <w:rFonts w:ascii="Times New Roman" w:eastAsia="Times New Roman" w:hAnsi="Times New Roman"/>
                <w:sz w:val="20"/>
                <w:szCs w:val="20"/>
                <w:bdr w:val="none" w:sz="0" w:space="0" w:color="auto" w:frame="1"/>
                <w:shd w:val="clear" w:color="auto" w:fill="FFFFFF"/>
              </w:rPr>
              <w:t>studiile întocmite în vederea accesării de fonduri externe nerambursabile</w:t>
            </w:r>
            <w:r w:rsidRPr="009D7FD2">
              <w:rPr>
                <w:rFonts w:ascii="Times New Roman" w:hAnsi="Times New Roman"/>
                <w:sz w:val="20"/>
                <w:szCs w:val="20"/>
                <w:bdr w:val="none" w:sz="0" w:space="0" w:color="auto" w:frame="1"/>
                <w:shd w:val="clear" w:color="auto" w:fill="FFFFFF"/>
              </w:rPr>
              <w:t>,</w:t>
            </w:r>
            <w:r w:rsidRPr="009D7FD2">
              <w:rPr>
                <w:rFonts w:ascii="Times New Roman" w:hAnsi="Times New Roman"/>
                <w:sz w:val="20"/>
                <w:szCs w:val="20"/>
              </w:rPr>
              <w:t xml:space="preserve"> în cazul proiectelor strategice, pregătirea acestora trebuie demarată încă dinaintea aprobării programului operațional pentru a asigura un portofoliu de proiecte cât mai solid și în timp util pentru a evita orice dezangajare de fonduri.</w:t>
            </w:r>
            <w:r w:rsidR="008A5E1F">
              <w:rPr>
                <w:rFonts w:ascii="Times New Roman" w:hAnsi="Times New Roman"/>
                <w:sz w:val="20"/>
                <w:szCs w:val="20"/>
              </w:rPr>
              <w:t xml:space="preserve"> </w:t>
            </w:r>
            <w:r w:rsidR="004A4154" w:rsidRPr="004A4154">
              <w:rPr>
                <w:rFonts w:ascii="Times New Roman" w:hAnsi="Times New Roman"/>
                <w:sz w:val="20"/>
                <w:szCs w:val="20"/>
              </w:rPr>
              <w:t xml:space="preserve">Propunerea de modificare vizează acordarea posibilității elaborării de </w:t>
            </w:r>
            <w:r w:rsidR="004A4154" w:rsidRPr="004A4154">
              <w:rPr>
                <w:rFonts w:ascii="Times New Roman" w:hAnsi="Times New Roman"/>
                <w:color w:val="000000"/>
                <w:sz w:val="20"/>
                <w:szCs w:val="20"/>
                <w:shd w:val="clear" w:color="auto" w:fill="FFFFFF"/>
              </w:rPr>
              <w:t xml:space="preserve">studii de prefezabilitate, studii de fezabilitate şi a altor studii aferente obiectivelor de investiţii, </w:t>
            </w:r>
            <w:r w:rsidR="004A4154" w:rsidRPr="004A4154">
              <w:rPr>
                <w:rFonts w:ascii="Times New Roman" w:hAnsi="Times New Roman"/>
                <w:sz w:val="20"/>
                <w:szCs w:val="20"/>
                <w:bdr w:val="none" w:sz="0" w:space="0" w:color="auto" w:frame="1"/>
                <w:shd w:val="clear" w:color="auto" w:fill="FFFFFF"/>
              </w:rPr>
              <w:t>aferente  proiectelor strategice regionale</w:t>
            </w:r>
            <w:r w:rsidR="004A4154" w:rsidRPr="004A4154">
              <w:rPr>
                <w:rFonts w:ascii="Times New Roman" w:hAnsi="Times New Roman"/>
                <w:sz w:val="20"/>
                <w:szCs w:val="20"/>
              </w:rPr>
              <w:t xml:space="preserve"> prin excepție de la aplicarea prevederilor art. V, alin. (1) şi (2)</w:t>
            </w:r>
            <w:r w:rsidR="004A4154" w:rsidRPr="004A4154">
              <w:rPr>
                <w:rFonts w:ascii="Times New Roman" w:hAnsi="Times New Roman"/>
                <w:sz w:val="20"/>
                <w:szCs w:val="20"/>
                <w:bdr w:val="none" w:sz="0" w:space="0" w:color="auto" w:frame="1"/>
                <w:shd w:val="clear" w:color="auto" w:fill="FFFFFF"/>
              </w:rPr>
              <w:t>.</w:t>
            </w:r>
          </w:p>
        </w:tc>
      </w:tr>
      <w:tr w:rsidR="009D7FD2" w:rsidRPr="009D7FD2" w14:paraId="404499D4" w14:textId="77777777" w:rsidTr="000B33ED">
        <w:trPr>
          <w:trHeight w:val="356"/>
        </w:trPr>
        <w:tc>
          <w:tcPr>
            <w:tcW w:w="568" w:type="dxa"/>
            <w:vAlign w:val="center"/>
          </w:tcPr>
          <w:p w14:paraId="217ADEF9" w14:textId="5E112AB4" w:rsidR="00D32758" w:rsidRPr="009D7FD2" w:rsidRDefault="00D32758" w:rsidP="00D5031C">
            <w:pPr>
              <w:spacing w:after="0" w:line="240" w:lineRule="auto"/>
              <w:jc w:val="center"/>
              <w:rPr>
                <w:rFonts w:ascii="Times New Roman" w:hAnsi="Times New Roman"/>
                <w:b/>
                <w:sz w:val="20"/>
                <w:szCs w:val="20"/>
                <w:shd w:val="clear" w:color="auto" w:fill="FFFFFF"/>
              </w:rPr>
            </w:pPr>
            <w:r w:rsidRPr="009D7FD2">
              <w:rPr>
                <w:rFonts w:ascii="Times New Roman" w:hAnsi="Times New Roman"/>
                <w:b/>
                <w:sz w:val="20"/>
                <w:szCs w:val="20"/>
                <w:shd w:val="clear" w:color="auto" w:fill="FFFFFF"/>
              </w:rPr>
              <w:t>22</w:t>
            </w:r>
          </w:p>
        </w:tc>
        <w:tc>
          <w:tcPr>
            <w:tcW w:w="4678" w:type="dxa"/>
          </w:tcPr>
          <w:p w14:paraId="56EAEA10" w14:textId="1B3E1434" w:rsidR="00D32758" w:rsidRPr="009D7FD2" w:rsidRDefault="00D32758" w:rsidP="00D5031C">
            <w:pPr>
              <w:widowControl w:val="0"/>
              <w:spacing w:after="0" w:line="240" w:lineRule="auto"/>
              <w:jc w:val="both"/>
              <w:rPr>
                <w:rFonts w:ascii="Times New Roman" w:hAnsi="Times New Roman"/>
                <w:b/>
                <w:sz w:val="20"/>
                <w:szCs w:val="20"/>
              </w:rPr>
            </w:pPr>
            <w:r w:rsidRPr="009D7FD2">
              <w:rPr>
                <w:rFonts w:ascii="Times New Roman" w:hAnsi="Times New Roman"/>
                <w:b/>
                <w:sz w:val="20"/>
                <w:szCs w:val="20"/>
                <w:bdr w:val="none" w:sz="0" w:space="0" w:color="auto" w:frame="1"/>
                <w:shd w:val="clear" w:color="auto" w:fill="FFFFFF"/>
              </w:rPr>
              <w:t>Art. V alin.</w:t>
            </w:r>
            <w:r w:rsidR="000B33ED">
              <w:rPr>
                <w:rFonts w:ascii="Times New Roman" w:hAnsi="Times New Roman"/>
                <w:b/>
                <w:sz w:val="20"/>
                <w:szCs w:val="20"/>
                <w:bdr w:val="none" w:sz="0" w:space="0" w:color="auto" w:frame="1"/>
                <w:shd w:val="clear" w:color="auto" w:fill="FFFFFF"/>
              </w:rPr>
              <w:t xml:space="preserve"> </w:t>
            </w:r>
            <w:r w:rsidRPr="009D7FD2">
              <w:rPr>
                <w:rFonts w:ascii="Times New Roman" w:hAnsi="Times New Roman"/>
                <w:b/>
                <w:sz w:val="20"/>
                <w:szCs w:val="20"/>
                <w:bdr w:val="none" w:sz="0" w:space="0" w:color="auto" w:frame="1"/>
                <w:shd w:val="clear" w:color="auto" w:fill="FFFFFF"/>
              </w:rPr>
              <w:t>(3</w:t>
            </w:r>
            <w:r w:rsidRPr="009D7FD2">
              <w:rPr>
                <w:rFonts w:ascii="Times New Roman" w:hAnsi="Times New Roman"/>
                <w:b/>
                <w:sz w:val="20"/>
                <w:szCs w:val="20"/>
                <w:bdr w:val="none" w:sz="0" w:space="0" w:color="auto" w:frame="1"/>
                <w:shd w:val="clear" w:color="auto" w:fill="FFFFFF"/>
                <w:vertAlign w:val="superscript"/>
              </w:rPr>
              <w:t>1</w:t>
            </w:r>
            <w:r w:rsidRPr="009D7FD2">
              <w:rPr>
                <w:rFonts w:ascii="Times New Roman" w:hAnsi="Times New Roman"/>
                <w:b/>
                <w:sz w:val="20"/>
                <w:szCs w:val="20"/>
                <w:bdr w:val="none" w:sz="0" w:space="0" w:color="auto" w:frame="1"/>
                <w:shd w:val="clear" w:color="auto" w:fill="FFFFFF"/>
              </w:rPr>
              <w:t xml:space="preserve">) </w:t>
            </w:r>
          </w:p>
          <w:p w14:paraId="01C8A90A" w14:textId="387A767A" w:rsidR="00D32758" w:rsidRPr="009D7FD2" w:rsidRDefault="00D32758" w:rsidP="00D5031C">
            <w:pPr>
              <w:autoSpaceDE w:val="0"/>
              <w:autoSpaceDN w:val="0"/>
              <w:adjustRightInd w:val="0"/>
              <w:spacing w:after="0" w:line="240" w:lineRule="auto"/>
              <w:jc w:val="both"/>
              <w:rPr>
                <w:rFonts w:ascii="Times New Roman" w:hAnsi="Times New Roman"/>
                <w:b/>
                <w:sz w:val="20"/>
                <w:szCs w:val="20"/>
                <w:bdr w:val="none" w:sz="0" w:space="0" w:color="auto" w:frame="1"/>
                <w:shd w:val="clear" w:color="auto" w:fill="FFFFFF"/>
              </w:rPr>
            </w:pPr>
            <w:r w:rsidRPr="009D7FD2">
              <w:rPr>
                <w:rFonts w:ascii="Times New Roman" w:hAnsi="Times New Roman"/>
                <w:sz w:val="20"/>
                <w:szCs w:val="20"/>
                <w:bdr w:val="none" w:sz="0" w:space="0" w:color="auto" w:frame="1"/>
                <w:shd w:val="clear" w:color="auto" w:fill="FFFFFF"/>
              </w:rPr>
              <w:t xml:space="preserve"> (3</w:t>
            </w:r>
            <w:r w:rsidRPr="009D7FD2">
              <w:rPr>
                <w:rFonts w:ascii="Times New Roman" w:hAnsi="Times New Roman"/>
                <w:sz w:val="20"/>
                <w:szCs w:val="20"/>
                <w:bdr w:val="none" w:sz="0" w:space="0" w:color="auto" w:frame="1"/>
                <w:shd w:val="clear" w:color="auto" w:fill="FFFFFF"/>
                <w:vertAlign w:val="superscript"/>
              </w:rPr>
              <w:t>1</w:t>
            </w:r>
            <w:r w:rsidRPr="009D7FD2">
              <w:rPr>
                <w:rFonts w:ascii="Times New Roman" w:hAnsi="Times New Roman"/>
                <w:sz w:val="20"/>
                <w:szCs w:val="20"/>
                <w:bdr w:val="none" w:sz="0" w:space="0" w:color="auto" w:frame="1"/>
                <w:shd w:val="clear" w:color="auto" w:fill="FFFFFF"/>
              </w:rPr>
              <w:t>) În înțelesul alin. (3) proiecte strategice regio</w:t>
            </w:r>
            <w:r w:rsidR="009D7FD2">
              <w:rPr>
                <w:rFonts w:ascii="Times New Roman" w:hAnsi="Times New Roman"/>
                <w:sz w:val="20"/>
                <w:szCs w:val="20"/>
                <w:bdr w:val="none" w:sz="0" w:space="0" w:color="auto" w:frame="1"/>
                <w:shd w:val="clear" w:color="auto" w:fill="FFFFFF"/>
              </w:rPr>
              <w:t>nale sunt acele proiecte care ră</w:t>
            </w:r>
            <w:r w:rsidRPr="009D7FD2">
              <w:rPr>
                <w:rFonts w:ascii="Times New Roman" w:hAnsi="Times New Roman"/>
                <w:sz w:val="20"/>
                <w:szCs w:val="20"/>
                <w:bdr w:val="none" w:sz="0" w:space="0" w:color="auto" w:frame="1"/>
                <w:shd w:val="clear" w:color="auto" w:fill="FFFFFF"/>
              </w:rPr>
              <w:t xml:space="preserve">spund nevoilor majore de dezvoltare ale regiunii și sunt astfel aprobate </w:t>
            </w:r>
            <w:r w:rsidRPr="009D7FD2">
              <w:rPr>
                <w:rFonts w:ascii="Times New Roman" w:eastAsia="Times New Roman" w:hAnsi="Times New Roman"/>
                <w:sz w:val="20"/>
                <w:szCs w:val="20"/>
                <w:bdr w:val="none" w:sz="0" w:space="0" w:color="auto" w:frame="1"/>
                <w:shd w:val="clear" w:color="auto" w:fill="FFFFFF"/>
              </w:rPr>
              <w:t>de către Consiliile de Dezvoltare Regională</w:t>
            </w:r>
            <w:r w:rsidRPr="009D7FD2">
              <w:rPr>
                <w:rFonts w:ascii="Times New Roman" w:hAnsi="Times New Roman"/>
                <w:sz w:val="20"/>
                <w:szCs w:val="20"/>
                <w:bdr w:val="none" w:sz="0" w:space="0" w:color="auto" w:frame="1"/>
                <w:shd w:val="clear" w:color="auto" w:fill="FFFFFF"/>
              </w:rPr>
              <w:t>,</w:t>
            </w:r>
            <w:r w:rsidRPr="009D7FD2">
              <w:rPr>
                <w:rFonts w:ascii="Times New Roman" w:eastAsia="Times New Roman" w:hAnsi="Times New Roman"/>
                <w:sz w:val="20"/>
                <w:szCs w:val="20"/>
                <w:bdr w:val="none" w:sz="0" w:space="0" w:color="auto" w:frame="1"/>
                <w:shd w:val="clear" w:color="auto" w:fill="FFFFFF"/>
              </w:rPr>
              <w:t xml:space="preserve"> conform prevederilor Legii nr. </w:t>
            </w:r>
            <w:r w:rsidRPr="009D7FD2">
              <w:rPr>
                <w:rFonts w:ascii="Times New Roman" w:hAnsi="Times New Roman"/>
                <w:sz w:val="20"/>
                <w:szCs w:val="20"/>
              </w:rPr>
              <w:t>315/2004 privind dezvoltarea regională în România, ȋn vederea includerii la finanțare din Fondul European de Dezvoltare Regională</w:t>
            </w:r>
            <w:r w:rsidR="00D10164" w:rsidRPr="009D7FD2">
              <w:rPr>
                <w:rFonts w:ascii="Times New Roman" w:hAnsi="Times New Roman"/>
                <w:sz w:val="20"/>
                <w:szCs w:val="20"/>
              </w:rPr>
              <w:t>, pe baza încadrării în direcțiile strategice și sumele alocate</w:t>
            </w:r>
            <w:r w:rsidRPr="009D7FD2">
              <w:rPr>
                <w:rFonts w:ascii="Times New Roman" w:hAnsi="Times New Roman"/>
                <w:sz w:val="20"/>
                <w:szCs w:val="20"/>
              </w:rPr>
              <w:t>.”</w:t>
            </w:r>
          </w:p>
        </w:tc>
        <w:tc>
          <w:tcPr>
            <w:tcW w:w="3827" w:type="dxa"/>
          </w:tcPr>
          <w:p w14:paraId="0A09890D" w14:textId="09AD2E39" w:rsidR="00D32758" w:rsidRPr="009D7FD2" w:rsidRDefault="00D32758" w:rsidP="000B33ED">
            <w:pPr>
              <w:spacing w:after="0" w:line="240" w:lineRule="auto"/>
              <w:jc w:val="center"/>
              <w:rPr>
                <w:rFonts w:ascii="Times New Roman" w:hAnsi="Times New Roman"/>
                <w:sz w:val="20"/>
                <w:szCs w:val="20"/>
              </w:rPr>
            </w:pPr>
            <w:r w:rsidRPr="009D7FD2">
              <w:rPr>
                <w:rFonts w:ascii="Times New Roman" w:hAnsi="Times New Roman"/>
                <w:sz w:val="20"/>
                <w:szCs w:val="20"/>
              </w:rPr>
              <w:t>-</w:t>
            </w:r>
          </w:p>
        </w:tc>
        <w:tc>
          <w:tcPr>
            <w:tcW w:w="6521" w:type="dxa"/>
            <w:vMerge/>
          </w:tcPr>
          <w:p w14:paraId="2ADB75D8" w14:textId="77777777" w:rsidR="00D32758" w:rsidRPr="009D7FD2" w:rsidRDefault="00D32758" w:rsidP="00D5031C">
            <w:pPr>
              <w:spacing w:after="0" w:line="240" w:lineRule="auto"/>
              <w:jc w:val="both"/>
              <w:rPr>
                <w:rFonts w:ascii="Times New Roman" w:hAnsi="Times New Roman"/>
                <w:sz w:val="20"/>
                <w:szCs w:val="20"/>
              </w:rPr>
            </w:pPr>
          </w:p>
        </w:tc>
      </w:tr>
    </w:tbl>
    <w:p w14:paraId="05883B5A" w14:textId="6722B434" w:rsidR="003117B0" w:rsidRPr="009D7FD2" w:rsidRDefault="003117B0" w:rsidP="00D5031C">
      <w:pPr>
        <w:spacing w:after="0" w:line="240" w:lineRule="auto"/>
        <w:rPr>
          <w:rFonts w:ascii="Times New Roman" w:hAnsi="Times New Roman"/>
          <w:sz w:val="20"/>
          <w:szCs w:val="20"/>
        </w:rPr>
      </w:pPr>
    </w:p>
    <w:sectPr w:rsidR="003117B0" w:rsidRPr="009D7FD2" w:rsidSect="0067279E">
      <w:headerReference w:type="default" r:id="rId10"/>
      <w:footerReference w:type="default" r:id="rId11"/>
      <w:pgSz w:w="16838" w:h="11906" w:orient="landscape"/>
      <w:pgMar w:top="1418" w:right="678" w:bottom="567" w:left="1418"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342B77" w14:textId="77777777" w:rsidR="00F06BFC" w:rsidRDefault="00F06BFC" w:rsidP="00FA2BDC">
      <w:pPr>
        <w:spacing w:after="0" w:line="240" w:lineRule="auto"/>
      </w:pPr>
      <w:r>
        <w:separator/>
      </w:r>
    </w:p>
  </w:endnote>
  <w:endnote w:type="continuationSeparator" w:id="0">
    <w:p w14:paraId="622959A3" w14:textId="77777777" w:rsidR="00F06BFC" w:rsidRDefault="00F06BFC" w:rsidP="00FA2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179957" w14:textId="77777777" w:rsidR="00AC0733" w:rsidRDefault="00AC0733">
    <w:pPr>
      <w:pStyle w:val="Footer"/>
      <w:jc w:val="right"/>
    </w:pPr>
    <w:r>
      <w:fldChar w:fldCharType="begin"/>
    </w:r>
    <w:r>
      <w:instrText>PAGE   \* MERGEFORMAT</w:instrText>
    </w:r>
    <w:r>
      <w:fldChar w:fldCharType="separate"/>
    </w:r>
    <w:r w:rsidR="007A6415">
      <w:rPr>
        <w:noProof/>
      </w:rPr>
      <w:t>8</w:t>
    </w:r>
    <w:r>
      <w:rPr>
        <w:noProof/>
      </w:rPr>
      <w:fldChar w:fldCharType="end"/>
    </w:r>
  </w:p>
  <w:p w14:paraId="1F626B09" w14:textId="77777777" w:rsidR="00AC0733" w:rsidRDefault="00AC07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B7F462" w14:textId="77777777" w:rsidR="00F06BFC" w:rsidRDefault="00F06BFC" w:rsidP="00FA2BDC">
      <w:pPr>
        <w:spacing w:after="0" w:line="240" w:lineRule="auto"/>
      </w:pPr>
      <w:r>
        <w:separator/>
      </w:r>
    </w:p>
  </w:footnote>
  <w:footnote w:type="continuationSeparator" w:id="0">
    <w:p w14:paraId="678288B9" w14:textId="77777777" w:rsidR="00F06BFC" w:rsidRDefault="00F06BFC" w:rsidP="00FA2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1458BE" w14:textId="77777777" w:rsidR="008B1D40" w:rsidRDefault="008B1D40" w:rsidP="00FA2BDC">
    <w:pPr>
      <w:spacing w:after="0" w:line="240" w:lineRule="auto"/>
      <w:jc w:val="center"/>
      <w:rPr>
        <w:rFonts w:ascii="Times New Roman" w:hAnsi="Times New Roman"/>
        <w:b/>
        <w:bCs/>
        <w:sz w:val="24"/>
        <w:szCs w:val="24"/>
        <w:lang w:eastAsia="ro-RO"/>
      </w:rPr>
    </w:pPr>
  </w:p>
  <w:p w14:paraId="31499308" w14:textId="77777777" w:rsidR="00AC0733" w:rsidRDefault="00AC0733" w:rsidP="00FA2BDC">
    <w:pPr>
      <w:spacing w:after="0" w:line="240" w:lineRule="auto"/>
      <w:jc w:val="center"/>
      <w:rPr>
        <w:rFonts w:ascii="Times New Roman" w:hAnsi="Times New Roman"/>
        <w:b/>
        <w:bCs/>
        <w:sz w:val="24"/>
        <w:szCs w:val="24"/>
        <w:lang w:eastAsia="ro-RO"/>
      </w:rPr>
    </w:pPr>
    <w:r w:rsidRPr="00916416">
      <w:rPr>
        <w:rFonts w:ascii="Times New Roman" w:hAnsi="Times New Roman"/>
        <w:b/>
        <w:bCs/>
        <w:sz w:val="24"/>
        <w:szCs w:val="24"/>
        <w:lang w:eastAsia="ro-RO"/>
      </w:rPr>
      <w:t>TABEL COMPARATIV</w:t>
    </w:r>
  </w:p>
  <w:p w14:paraId="7C72FDA2" w14:textId="6AADA129" w:rsidR="00B03A45" w:rsidRPr="00CE5F0F" w:rsidRDefault="004D14D9" w:rsidP="004D14D9">
    <w:pPr>
      <w:widowControl w:val="0"/>
      <w:jc w:val="center"/>
      <w:rPr>
        <w:rFonts w:ascii="Times New Roman" w:hAnsi="Times New Roman"/>
        <w:b/>
        <w:i/>
        <w:sz w:val="24"/>
        <w:szCs w:val="24"/>
      </w:rPr>
    </w:pPr>
    <w:r w:rsidRPr="004D14D9">
      <w:rPr>
        <w:rFonts w:ascii="Times New Roman" w:hAnsi="Times New Roman"/>
        <w:b/>
        <w:sz w:val="24"/>
        <w:szCs w:val="24"/>
      </w:rPr>
      <w:t>Ordonanţa de urgenţă a Guvernului pentru modificarea și completarea unor acte normative în domeniul fondurilor europene</w:t>
    </w:r>
  </w:p>
  <w:p w14:paraId="43EF5529" w14:textId="4B9E60FB" w:rsidR="00AC0733" w:rsidRDefault="00AC0733" w:rsidP="00916416">
    <w:pPr>
      <w:spacing w:after="0" w:line="240" w:lineRule="aut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D782D"/>
    <w:multiLevelType w:val="hybridMultilevel"/>
    <w:tmpl w:val="2A5690E4"/>
    <w:lvl w:ilvl="0" w:tplc="F91E79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785486"/>
    <w:multiLevelType w:val="hybridMultilevel"/>
    <w:tmpl w:val="D7128530"/>
    <w:lvl w:ilvl="0" w:tplc="CC904D08">
      <w:start w:val="1"/>
      <w:numFmt w:val="lowerLetter"/>
      <w:lvlText w:val="%1)"/>
      <w:lvlJc w:val="left"/>
      <w:pPr>
        <w:ind w:left="720" w:hanging="360"/>
      </w:pPr>
      <w:rPr>
        <w:rFonts w:cs="Times New Roman" w:hint="default"/>
      </w:rPr>
    </w:lvl>
    <w:lvl w:ilvl="1" w:tplc="04180017">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
    <w:nsid w:val="02BD4258"/>
    <w:multiLevelType w:val="hybridMultilevel"/>
    <w:tmpl w:val="6FDA7A56"/>
    <w:lvl w:ilvl="0" w:tplc="AEF8E840">
      <w:start w:val="1"/>
      <w:numFmt w:val="decimal"/>
      <w:lvlText w:val="%1."/>
      <w:lvlJc w:val="left"/>
      <w:pPr>
        <w:ind w:left="720" w:hanging="360"/>
      </w:pPr>
      <w:rPr>
        <w:rFonts w:hint="default"/>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AD83D56"/>
    <w:multiLevelType w:val="multilevel"/>
    <w:tmpl w:val="8F0AFCD8"/>
    <w:lvl w:ilvl="0">
      <w:start w:val="1"/>
      <w:numFmt w:val="decimal"/>
      <w:lvlText w:val="%1."/>
      <w:lvlJc w:val="left"/>
      <w:pPr>
        <w:ind w:left="510" w:hanging="510"/>
      </w:pPr>
      <w:rPr>
        <w:rFonts w:cs="Times New Roman" w:hint="default"/>
      </w:rPr>
    </w:lvl>
    <w:lvl w:ilvl="1">
      <w:start w:val="1"/>
      <w:numFmt w:val="decimal"/>
      <w:lvlText w:val="%1.%2."/>
      <w:lvlJc w:val="left"/>
      <w:pPr>
        <w:ind w:left="510" w:hanging="51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
    <w:nsid w:val="0E410A2C"/>
    <w:multiLevelType w:val="hybridMultilevel"/>
    <w:tmpl w:val="CB4E17FE"/>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0757CD0"/>
    <w:multiLevelType w:val="hybridMultilevel"/>
    <w:tmpl w:val="662AC312"/>
    <w:lvl w:ilvl="0" w:tplc="19D2044E">
      <w:start w:val="1"/>
      <w:numFmt w:val="decimal"/>
      <w:lvlText w:val="%1."/>
      <w:lvlJc w:val="right"/>
      <w:pPr>
        <w:ind w:left="720" w:hanging="360"/>
      </w:pPr>
      <w:rPr>
        <w:rFonts w:hint="default"/>
        <w:i w:val="0"/>
        <w:color w:val="auto"/>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1C620BE9"/>
    <w:multiLevelType w:val="hybridMultilevel"/>
    <w:tmpl w:val="273231CC"/>
    <w:lvl w:ilvl="0" w:tplc="04180017">
      <w:start w:val="1"/>
      <w:numFmt w:val="lowerLetter"/>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
    <w:nsid w:val="29542429"/>
    <w:multiLevelType w:val="hybridMultilevel"/>
    <w:tmpl w:val="15B2D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DC7295"/>
    <w:multiLevelType w:val="hybridMultilevel"/>
    <w:tmpl w:val="BDC4AAC2"/>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
    <w:nsid w:val="50367C13"/>
    <w:multiLevelType w:val="hybridMultilevel"/>
    <w:tmpl w:val="7DE2BAB4"/>
    <w:lvl w:ilvl="0" w:tplc="4A2A8D24">
      <w:start w:val="1"/>
      <w:numFmt w:val="lowerLetter"/>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nsid w:val="5CDC1B5C"/>
    <w:multiLevelType w:val="hybridMultilevel"/>
    <w:tmpl w:val="C73AB5B4"/>
    <w:lvl w:ilvl="0" w:tplc="04180015">
      <w:start w:val="1"/>
      <w:numFmt w:val="upperLetter"/>
      <w:lvlText w:val="%1."/>
      <w:lvlJc w:val="left"/>
      <w:pPr>
        <w:ind w:left="1146" w:hanging="360"/>
      </w:pPr>
      <w:rPr>
        <w:rFonts w:cs="Times New Roman"/>
      </w:rPr>
    </w:lvl>
    <w:lvl w:ilvl="1" w:tplc="4A2A8D24">
      <w:start w:val="1"/>
      <w:numFmt w:val="lowerLetter"/>
      <w:lvlText w:val="%2)"/>
      <w:lvlJc w:val="left"/>
      <w:pPr>
        <w:ind w:left="1866" w:hanging="360"/>
      </w:pPr>
      <w:rPr>
        <w:rFonts w:cs="Times New Roman" w:hint="default"/>
        <w:b w:val="0"/>
      </w:rPr>
    </w:lvl>
    <w:lvl w:ilvl="2" w:tplc="0418001B" w:tentative="1">
      <w:start w:val="1"/>
      <w:numFmt w:val="lowerRoman"/>
      <w:lvlText w:val="%3."/>
      <w:lvlJc w:val="right"/>
      <w:pPr>
        <w:ind w:left="2586" w:hanging="180"/>
      </w:pPr>
      <w:rPr>
        <w:rFonts w:cs="Times New Roman"/>
      </w:rPr>
    </w:lvl>
    <w:lvl w:ilvl="3" w:tplc="0418000F" w:tentative="1">
      <w:start w:val="1"/>
      <w:numFmt w:val="decimal"/>
      <w:lvlText w:val="%4."/>
      <w:lvlJc w:val="left"/>
      <w:pPr>
        <w:ind w:left="3306" w:hanging="360"/>
      </w:pPr>
      <w:rPr>
        <w:rFonts w:cs="Times New Roman"/>
      </w:rPr>
    </w:lvl>
    <w:lvl w:ilvl="4" w:tplc="04180019" w:tentative="1">
      <w:start w:val="1"/>
      <w:numFmt w:val="lowerLetter"/>
      <w:lvlText w:val="%5."/>
      <w:lvlJc w:val="left"/>
      <w:pPr>
        <w:ind w:left="4026" w:hanging="360"/>
      </w:pPr>
      <w:rPr>
        <w:rFonts w:cs="Times New Roman"/>
      </w:rPr>
    </w:lvl>
    <w:lvl w:ilvl="5" w:tplc="0418001B" w:tentative="1">
      <w:start w:val="1"/>
      <w:numFmt w:val="lowerRoman"/>
      <w:lvlText w:val="%6."/>
      <w:lvlJc w:val="right"/>
      <w:pPr>
        <w:ind w:left="4746" w:hanging="180"/>
      </w:pPr>
      <w:rPr>
        <w:rFonts w:cs="Times New Roman"/>
      </w:rPr>
    </w:lvl>
    <w:lvl w:ilvl="6" w:tplc="0418000F" w:tentative="1">
      <w:start w:val="1"/>
      <w:numFmt w:val="decimal"/>
      <w:lvlText w:val="%7."/>
      <w:lvlJc w:val="left"/>
      <w:pPr>
        <w:ind w:left="5466" w:hanging="360"/>
      </w:pPr>
      <w:rPr>
        <w:rFonts w:cs="Times New Roman"/>
      </w:rPr>
    </w:lvl>
    <w:lvl w:ilvl="7" w:tplc="04180019" w:tentative="1">
      <w:start w:val="1"/>
      <w:numFmt w:val="lowerLetter"/>
      <w:lvlText w:val="%8."/>
      <w:lvlJc w:val="left"/>
      <w:pPr>
        <w:ind w:left="6186" w:hanging="360"/>
      </w:pPr>
      <w:rPr>
        <w:rFonts w:cs="Times New Roman"/>
      </w:rPr>
    </w:lvl>
    <w:lvl w:ilvl="8" w:tplc="0418001B" w:tentative="1">
      <w:start w:val="1"/>
      <w:numFmt w:val="lowerRoman"/>
      <w:lvlText w:val="%9."/>
      <w:lvlJc w:val="right"/>
      <w:pPr>
        <w:ind w:left="6906" w:hanging="180"/>
      </w:pPr>
      <w:rPr>
        <w:rFonts w:cs="Times New Roman"/>
      </w:rPr>
    </w:lvl>
  </w:abstractNum>
  <w:abstractNum w:abstractNumId="11">
    <w:nsid w:val="5E13512B"/>
    <w:multiLevelType w:val="hybridMultilevel"/>
    <w:tmpl w:val="EAFA3444"/>
    <w:lvl w:ilvl="0" w:tplc="ED22C4FE">
      <w:start w:val="1"/>
      <w:numFmt w:val="bullet"/>
      <w:lvlText w:val="-"/>
      <w:lvlJc w:val="left"/>
      <w:pPr>
        <w:ind w:left="2498" w:hanging="360"/>
      </w:pPr>
      <w:rPr>
        <w:rFonts w:ascii="Trebuchet MS" w:eastAsia="Trebuchet MS" w:hAnsi="Trebuchet MS" w:cs="Trebuchet MS" w:hint="default"/>
      </w:rPr>
    </w:lvl>
    <w:lvl w:ilvl="1" w:tplc="04180003" w:tentative="1">
      <w:start w:val="1"/>
      <w:numFmt w:val="bullet"/>
      <w:lvlText w:val="o"/>
      <w:lvlJc w:val="left"/>
      <w:pPr>
        <w:ind w:left="3218" w:hanging="360"/>
      </w:pPr>
      <w:rPr>
        <w:rFonts w:ascii="Courier New" w:hAnsi="Courier New" w:cs="Courier New" w:hint="default"/>
      </w:rPr>
    </w:lvl>
    <w:lvl w:ilvl="2" w:tplc="04180005" w:tentative="1">
      <w:start w:val="1"/>
      <w:numFmt w:val="bullet"/>
      <w:lvlText w:val=""/>
      <w:lvlJc w:val="left"/>
      <w:pPr>
        <w:ind w:left="3938" w:hanging="360"/>
      </w:pPr>
      <w:rPr>
        <w:rFonts w:ascii="Wingdings" w:hAnsi="Wingdings" w:hint="default"/>
      </w:rPr>
    </w:lvl>
    <w:lvl w:ilvl="3" w:tplc="04180001" w:tentative="1">
      <w:start w:val="1"/>
      <w:numFmt w:val="bullet"/>
      <w:lvlText w:val=""/>
      <w:lvlJc w:val="left"/>
      <w:pPr>
        <w:ind w:left="4658" w:hanging="360"/>
      </w:pPr>
      <w:rPr>
        <w:rFonts w:ascii="Symbol" w:hAnsi="Symbol" w:hint="default"/>
      </w:rPr>
    </w:lvl>
    <w:lvl w:ilvl="4" w:tplc="04180003" w:tentative="1">
      <w:start w:val="1"/>
      <w:numFmt w:val="bullet"/>
      <w:lvlText w:val="o"/>
      <w:lvlJc w:val="left"/>
      <w:pPr>
        <w:ind w:left="5378" w:hanging="360"/>
      </w:pPr>
      <w:rPr>
        <w:rFonts w:ascii="Courier New" w:hAnsi="Courier New" w:cs="Courier New" w:hint="default"/>
      </w:rPr>
    </w:lvl>
    <w:lvl w:ilvl="5" w:tplc="04180005" w:tentative="1">
      <w:start w:val="1"/>
      <w:numFmt w:val="bullet"/>
      <w:lvlText w:val=""/>
      <w:lvlJc w:val="left"/>
      <w:pPr>
        <w:ind w:left="6098" w:hanging="360"/>
      </w:pPr>
      <w:rPr>
        <w:rFonts w:ascii="Wingdings" w:hAnsi="Wingdings" w:hint="default"/>
      </w:rPr>
    </w:lvl>
    <w:lvl w:ilvl="6" w:tplc="04180001" w:tentative="1">
      <w:start w:val="1"/>
      <w:numFmt w:val="bullet"/>
      <w:lvlText w:val=""/>
      <w:lvlJc w:val="left"/>
      <w:pPr>
        <w:ind w:left="6818" w:hanging="360"/>
      </w:pPr>
      <w:rPr>
        <w:rFonts w:ascii="Symbol" w:hAnsi="Symbol" w:hint="default"/>
      </w:rPr>
    </w:lvl>
    <w:lvl w:ilvl="7" w:tplc="04180003" w:tentative="1">
      <w:start w:val="1"/>
      <w:numFmt w:val="bullet"/>
      <w:lvlText w:val="o"/>
      <w:lvlJc w:val="left"/>
      <w:pPr>
        <w:ind w:left="7538" w:hanging="360"/>
      </w:pPr>
      <w:rPr>
        <w:rFonts w:ascii="Courier New" w:hAnsi="Courier New" w:cs="Courier New" w:hint="default"/>
      </w:rPr>
    </w:lvl>
    <w:lvl w:ilvl="8" w:tplc="04180005" w:tentative="1">
      <w:start w:val="1"/>
      <w:numFmt w:val="bullet"/>
      <w:lvlText w:val=""/>
      <w:lvlJc w:val="left"/>
      <w:pPr>
        <w:ind w:left="8258" w:hanging="360"/>
      </w:pPr>
      <w:rPr>
        <w:rFonts w:ascii="Wingdings" w:hAnsi="Wingdings" w:hint="default"/>
      </w:rPr>
    </w:lvl>
  </w:abstractNum>
  <w:abstractNum w:abstractNumId="12">
    <w:nsid w:val="620061B1"/>
    <w:multiLevelType w:val="hybridMultilevel"/>
    <w:tmpl w:val="E8CA10A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712D2038"/>
    <w:multiLevelType w:val="hybridMultilevel"/>
    <w:tmpl w:val="7AF44E9E"/>
    <w:lvl w:ilvl="0" w:tplc="0418000D">
      <w:start w:val="1"/>
      <w:numFmt w:val="bullet"/>
      <w:lvlText w:val=""/>
      <w:lvlJc w:val="left"/>
      <w:pPr>
        <w:ind w:left="612" w:hanging="360"/>
      </w:pPr>
      <w:rPr>
        <w:rFonts w:ascii="Wingdings" w:hAnsi="Wingdings" w:hint="default"/>
      </w:rPr>
    </w:lvl>
    <w:lvl w:ilvl="1" w:tplc="04180003" w:tentative="1">
      <w:start w:val="1"/>
      <w:numFmt w:val="bullet"/>
      <w:lvlText w:val="o"/>
      <w:lvlJc w:val="left"/>
      <w:pPr>
        <w:ind w:left="1332" w:hanging="360"/>
      </w:pPr>
      <w:rPr>
        <w:rFonts w:ascii="Courier New" w:hAnsi="Courier New" w:cs="Courier New" w:hint="default"/>
      </w:rPr>
    </w:lvl>
    <w:lvl w:ilvl="2" w:tplc="04180005" w:tentative="1">
      <w:start w:val="1"/>
      <w:numFmt w:val="bullet"/>
      <w:lvlText w:val=""/>
      <w:lvlJc w:val="left"/>
      <w:pPr>
        <w:ind w:left="2052" w:hanging="360"/>
      </w:pPr>
      <w:rPr>
        <w:rFonts w:ascii="Wingdings" w:hAnsi="Wingdings" w:hint="default"/>
      </w:rPr>
    </w:lvl>
    <w:lvl w:ilvl="3" w:tplc="04180001" w:tentative="1">
      <w:start w:val="1"/>
      <w:numFmt w:val="bullet"/>
      <w:lvlText w:val=""/>
      <w:lvlJc w:val="left"/>
      <w:pPr>
        <w:ind w:left="2772" w:hanging="360"/>
      </w:pPr>
      <w:rPr>
        <w:rFonts w:ascii="Symbol" w:hAnsi="Symbol" w:hint="default"/>
      </w:rPr>
    </w:lvl>
    <w:lvl w:ilvl="4" w:tplc="04180003" w:tentative="1">
      <w:start w:val="1"/>
      <w:numFmt w:val="bullet"/>
      <w:lvlText w:val="o"/>
      <w:lvlJc w:val="left"/>
      <w:pPr>
        <w:ind w:left="3492" w:hanging="360"/>
      </w:pPr>
      <w:rPr>
        <w:rFonts w:ascii="Courier New" w:hAnsi="Courier New" w:cs="Courier New" w:hint="default"/>
      </w:rPr>
    </w:lvl>
    <w:lvl w:ilvl="5" w:tplc="04180005" w:tentative="1">
      <w:start w:val="1"/>
      <w:numFmt w:val="bullet"/>
      <w:lvlText w:val=""/>
      <w:lvlJc w:val="left"/>
      <w:pPr>
        <w:ind w:left="4212" w:hanging="360"/>
      </w:pPr>
      <w:rPr>
        <w:rFonts w:ascii="Wingdings" w:hAnsi="Wingdings" w:hint="default"/>
      </w:rPr>
    </w:lvl>
    <w:lvl w:ilvl="6" w:tplc="04180001" w:tentative="1">
      <w:start w:val="1"/>
      <w:numFmt w:val="bullet"/>
      <w:lvlText w:val=""/>
      <w:lvlJc w:val="left"/>
      <w:pPr>
        <w:ind w:left="4932" w:hanging="360"/>
      </w:pPr>
      <w:rPr>
        <w:rFonts w:ascii="Symbol" w:hAnsi="Symbol" w:hint="default"/>
      </w:rPr>
    </w:lvl>
    <w:lvl w:ilvl="7" w:tplc="04180003" w:tentative="1">
      <w:start w:val="1"/>
      <w:numFmt w:val="bullet"/>
      <w:lvlText w:val="o"/>
      <w:lvlJc w:val="left"/>
      <w:pPr>
        <w:ind w:left="5652" w:hanging="360"/>
      </w:pPr>
      <w:rPr>
        <w:rFonts w:ascii="Courier New" w:hAnsi="Courier New" w:cs="Courier New" w:hint="default"/>
      </w:rPr>
    </w:lvl>
    <w:lvl w:ilvl="8" w:tplc="04180005" w:tentative="1">
      <w:start w:val="1"/>
      <w:numFmt w:val="bullet"/>
      <w:lvlText w:val=""/>
      <w:lvlJc w:val="left"/>
      <w:pPr>
        <w:ind w:left="6372" w:hanging="360"/>
      </w:pPr>
      <w:rPr>
        <w:rFonts w:ascii="Wingdings" w:hAnsi="Wingdings" w:hint="default"/>
      </w:rPr>
    </w:lvl>
  </w:abstractNum>
  <w:num w:numId="1">
    <w:abstractNumId w:val="10"/>
  </w:num>
  <w:num w:numId="2">
    <w:abstractNumId w:val="1"/>
  </w:num>
  <w:num w:numId="3">
    <w:abstractNumId w:val="9"/>
  </w:num>
  <w:num w:numId="4">
    <w:abstractNumId w:val="6"/>
  </w:num>
  <w:num w:numId="5">
    <w:abstractNumId w:val="3"/>
  </w:num>
  <w:num w:numId="6">
    <w:abstractNumId w:val="4"/>
  </w:num>
  <w:num w:numId="7">
    <w:abstractNumId w:val="8"/>
  </w:num>
  <w:num w:numId="8">
    <w:abstractNumId w:val="5"/>
  </w:num>
  <w:num w:numId="9">
    <w:abstractNumId w:val="7"/>
  </w:num>
  <w:num w:numId="10">
    <w:abstractNumId w:val="0"/>
  </w:num>
  <w:num w:numId="11">
    <w:abstractNumId w:val="11"/>
  </w:num>
  <w:num w:numId="12">
    <w:abstractNumId w:val="13"/>
  </w:num>
  <w:num w:numId="13">
    <w:abstractNumId w:val="12"/>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BDC"/>
    <w:rsid w:val="00013038"/>
    <w:rsid w:val="000326F1"/>
    <w:rsid w:val="00033B9E"/>
    <w:rsid w:val="000349B3"/>
    <w:rsid w:val="000356BF"/>
    <w:rsid w:val="00037853"/>
    <w:rsid w:val="00041AC6"/>
    <w:rsid w:val="000431BF"/>
    <w:rsid w:val="000514EF"/>
    <w:rsid w:val="00057433"/>
    <w:rsid w:val="00064075"/>
    <w:rsid w:val="00064BAC"/>
    <w:rsid w:val="00083132"/>
    <w:rsid w:val="00087FA4"/>
    <w:rsid w:val="000933B8"/>
    <w:rsid w:val="00097DA3"/>
    <w:rsid w:val="000B33ED"/>
    <w:rsid w:val="000C030F"/>
    <w:rsid w:val="000D06AE"/>
    <w:rsid w:val="000E448A"/>
    <w:rsid w:val="000E7433"/>
    <w:rsid w:val="000E7D13"/>
    <w:rsid w:val="000F50DD"/>
    <w:rsid w:val="00103223"/>
    <w:rsid w:val="00105502"/>
    <w:rsid w:val="00111920"/>
    <w:rsid w:val="00113826"/>
    <w:rsid w:val="00115909"/>
    <w:rsid w:val="0011605A"/>
    <w:rsid w:val="001165B6"/>
    <w:rsid w:val="0012536D"/>
    <w:rsid w:val="0014541C"/>
    <w:rsid w:val="001478FD"/>
    <w:rsid w:val="00153E04"/>
    <w:rsid w:val="00157A3D"/>
    <w:rsid w:val="00165E88"/>
    <w:rsid w:val="00171346"/>
    <w:rsid w:val="00171F60"/>
    <w:rsid w:val="00180006"/>
    <w:rsid w:val="00185A39"/>
    <w:rsid w:val="00192868"/>
    <w:rsid w:val="001939E3"/>
    <w:rsid w:val="001A0805"/>
    <w:rsid w:val="001A632B"/>
    <w:rsid w:val="001A7D0E"/>
    <w:rsid w:val="001B361B"/>
    <w:rsid w:val="001B59C1"/>
    <w:rsid w:val="001C45CB"/>
    <w:rsid w:val="001C65C8"/>
    <w:rsid w:val="001C667D"/>
    <w:rsid w:val="001D085B"/>
    <w:rsid w:val="001D23DE"/>
    <w:rsid w:val="001D24F8"/>
    <w:rsid w:val="001D38C7"/>
    <w:rsid w:val="001E1DCD"/>
    <w:rsid w:val="001E3432"/>
    <w:rsid w:val="001E5A98"/>
    <w:rsid w:val="001E7D05"/>
    <w:rsid w:val="001F41A3"/>
    <w:rsid w:val="0020294A"/>
    <w:rsid w:val="00204DD7"/>
    <w:rsid w:val="00211910"/>
    <w:rsid w:val="0021293D"/>
    <w:rsid w:val="00212976"/>
    <w:rsid w:val="00217095"/>
    <w:rsid w:val="0021717E"/>
    <w:rsid w:val="00233659"/>
    <w:rsid w:val="002379C7"/>
    <w:rsid w:val="00243CEA"/>
    <w:rsid w:val="00251466"/>
    <w:rsid w:val="00255181"/>
    <w:rsid w:val="00263329"/>
    <w:rsid w:val="00266C85"/>
    <w:rsid w:val="00267286"/>
    <w:rsid w:val="0027768D"/>
    <w:rsid w:val="00284450"/>
    <w:rsid w:val="00285EFC"/>
    <w:rsid w:val="002908C0"/>
    <w:rsid w:val="002920EF"/>
    <w:rsid w:val="00295B51"/>
    <w:rsid w:val="002A0214"/>
    <w:rsid w:val="002B5D7F"/>
    <w:rsid w:val="002C0AD8"/>
    <w:rsid w:val="002C69CB"/>
    <w:rsid w:val="002D0DAC"/>
    <w:rsid w:val="002D5106"/>
    <w:rsid w:val="002E1AE6"/>
    <w:rsid w:val="002E21D4"/>
    <w:rsid w:val="002E4319"/>
    <w:rsid w:val="002F1291"/>
    <w:rsid w:val="00301883"/>
    <w:rsid w:val="00305923"/>
    <w:rsid w:val="003117B0"/>
    <w:rsid w:val="00316479"/>
    <w:rsid w:val="003279EB"/>
    <w:rsid w:val="00331D16"/>
    <w:rsid w:val="0033659D"/>
    <w:rsid w:val="00342A48"/>
    <w:rsid w:val="00346AE5"/>
    <w:rsid w:val="00347207"/>
    <w:rsid w:val="00347F5B"/>
    <w:rsid w:val="003501B3"/>
    <w:rsid w:val="00352F24"/>
    <w:rsid w:val="00354179"/>
    <w:rsid w:val="00357B09"/>
    <w:rsid w:val="003716B8"/>
    <w:rsid w:val="0037298F"/>
    <w:rsid w:val="00380850"/>
    <w:rsid w:val="00382CCD"/>
    <w:rsid w:val="00384CDF"/>
    <w:rsid w:val="003959D8"/>
    <w:rsid w:val="003A0711"/>
    <w:rsid w:val="003A0836"/>
    <w:rsid w:val="003A229C"/>
    <w:rsid w:val="003B2172"/>
    <w:rsid w:val="003B53C2"/>
    <w:rsid w:val="003B7FA6"/>
    <w:rsid w:val="003C2BF1"/>
    <w:rsid w:val="003E1A47"/>
    <w:rsid w:val="003F6558"/>
    <w:rsid w:val="00402E79"/>
    <w:rsid w:val="004269F4"/>
    <w:rsid w:val="00430922"/>
    <w:rsid w:val="004330AD"/>
    <w:rsid w:val="00433FC4"/>
    <w:rsid w:val="00442BA4"/>
    <w:rsid w:val="00446D57"/>
    <w:rsid w:val="00453470"/>
    <w:rsid w:val="00486235"/>
    <w:rsid w:val="0049135D"/>
    <w:rsid w:val="00493322"/>
    <w:rsid w:val="004A23D3"/>
    <w:rsid w:val="004A4154"/>
    <w:rsid w:val="004A496E"/>
    <w:rsid w:val="004B1215"/>
    <w:rsid w:val="004B222D"/>
    <w:rsid w:val="004C3812"/>
    <w:rsid w:val="004C6AE6"/>
    <w:rsid w:val="004D14D9"/>
    <w:rsid w:val="004E2CE9"/>
    <w:rsid w:val="004E6D06"/>
    <w:rsid w:val="004F654A"/>
    <w:rsid w:val="005064A5"/>
    <w:rsid w:val="00520752"/>
    <w:rsid w:val="005215E4"/>
    <w:rsid w:val="00525668"/>
    <w:rsid w:val="005301B4"/>
    <w:rsid w:val="005330F8"/>
    <w:rsid w:val="005346FC"/>
    <w:rsid w:val="00535C3F"/>
    <w:rsid w:val="00542A4D"/>
    <w:rsid w:val="005461D9"/>
    <w:rsid w:val="00546BE2"/>
    <w:rsid w:val="00553C60"/>
    <w:rsid w:val="00557B75"/>
    <w:rsid w:val="00565B6F"/>
    <w:rsid w:val="00567452"/>
    <w:rsid w:val="005A11B3"/>
    <w:rsid w:val="005A6CC0"/>
    <w:rsid w:val="005B6C8E"/>
    <w:rsid w:val="005C0762"/>
    <w:rsid w:val="005C64C6"/>
    <w:rsid w:val="005C6BA6"/>
    <w:rsid w:val="005C7CAB"/>
    <w:rsid w:val="005D33F3"/>
    <w:rsid w:val="005D3CB4"/>
    <w:rsid w:val="005E1C44"/>
    <w:rsid w:val="005E3D59"/>
    <w:rsid w:val="005E6A7B"/>
    <w:rsid w:val="005F5676"/>
    <w:rsid w:val="005F77F2"/>
    <w:rsid w:val="00602442"/>
    <w:rsid w:val="006069F9"/>
    <w:rsid w:val="00615390"/>
    <w:rsid w:val="00617674"/>
    <w:rsid w:val="00624AFA"/>
    <w:rsid w:val="00627AFB"/>
    <w:rsid w:val="00633136"/>
    <w:rsid w:val="00635143"/>
    <w:rsid w:val="00637535"/>
    <w:rsid w:val="00640245"/>
    <w:rsid w:val="006405FE"/>
    <w:rsid w:val="00641FF8"/>
    <w:rsid w:val="00646E31"/>
    <w:rsid w:val="00647302"/>
    <w:rsid w:val="00650F38"/>
    <w:rsid w:val="00662C3F"/>
    <w:rsid w:val="00663E54"/>
    <w:rsid w:val="006703B9"/>
    <w:rsid w:val="00670AA3"/>
    <w:rsid w:val="0067279E"/>
    <w:rsid w:val="00672B44"/>
    <w:rsid w:val="00680625"/>
    <w:rsid w:val="0068352E"/>
    <w:rsid w:val="0068407F"/>
    <w:rsid w:val="00686285"/>
    <w:rsid w:val="006871B8"/>
    <w:rsid w:val="006A11D0"/>
    <w:rsid w:val="006D19D9"/>
    <w:rsid w:val="006D60C6"/>
    <w:rsid w:val="006E3D5F"/>
    <w:rsid w:val="006E4E6B"/>
    <w:rsid w:val="006F19A6"/>
    <w:rsid w:val="006F68C1"/>
    <w:rsid w:val="007021AF"/>
    <w:rsid w:val="007029A2"/>
    <w:rsid w:val="00706683"/>
    <w:rsid w:val="0070678C"/>
    <w:rsid w:val="007074D5"/>
    <w:rsid w:val="0071617D"/>
    <w:rsid w:val="007245FC"/>
    <w:rsid w:val="00733F96"/>
    <w:rsid w:val="00746A5C"/>
    <w:rsid w:val="007471DC"/>
    <w:rsid w:val="00747E15"/>
    <w:rsid w:val="007507BA"/>
    <w:rsid w:val="00753176"/>
    <w:rsid w:val="00754C5D"/>
    <w:rsid w:val="00756D3F"/>
    <w:rsid w:val="00760A3B"/>
    <w:rsid w:val="00762034"/>
    <w:rsid w:val="007666B3"/>
    <w:rsid w:val="007748C7"/>
    <w:rsid w:val="0078458F"/>
    <w:rsid w:val="00790B0E"/>
    <w:rsid w:val="007939C3"/>
    <w:rsid w:val="007A6415"/>
    <w:rsid w:val="007A6D13"/>
    <w:rsid w:val="007B3D34"/>
    <w:rsid w:val="007B3DAE"/>
    <w:rsid w:val="007B41AD"/>
    <w:rsid w:val="007B4CA6"/>
    <w:rsid w:val="007C2B5F"/>
    <w:rsid w:val="007C31DA"/>
    <w:rsid w:val="007C7724"/>
    <w:rsid w:val="007D1424"/>
    <w:rsid w:val="007D4413"/>
    <w:rsid w:val="007D5613"/>
    <w:rsid w:val="007E4F55"/>
    <w:rsid w:val="007E62C2"/>
    <w:rsid w:val="007F1C57"/>
    <w:rsid w:val="007F620B"/>
    <w:rsid w:val="007F6606"/>
    <w:rsid w:val="00805398"/>
    <w:rsid w:val="00812CB0"/>
    <w:rsid w:val="008174E9"/>
    <w:rsid w:val="00823283"/>
    <w:rsid w:val="00830DDB"/>
    <w:rsid w:val="0083416E"/>
    <w:rsid w:val="00836829"/>
    <w:rsid w:val="00836DF2"/>
    <w:rsid w:val="00837EC4"/>
    <w:rsid w:val="008408AA"/>
    <w:rsid w:val="00842102"/>
    <w:rsid w:val="00844BF9"/>
    <w:rsid w:val="00844EBC"/>
    <w:rsid w:val="00845036"/>
    <w:rsid w:val="00850274"/>
    <w:rsid w:val="00857CE9"/>
    <w:rsid w:val="008659DF"/>
    <w:rsid w:val="0086714E"/>
    <w:rsid w:val="008863B1"/>
    <w:rsid w:val="008A23BE"/>
    <w:rsid w:val="008A5E1F"/>
    <w:rsid w:val="008B1D40"/>
    <w:rsid w:val="008B2FC8"/>
    <w:rsid w:val="008B5BBD"/>
    <w:rsid w:val="008B7462"/>
    <w:rsid w:val="008C6366"/>
    <w:rsid w:val="008D112D"/>
    <w:rsid w:val="008D6C4E"/>
    <w:rsid w:val="008E37AC"/>
    <w:rsid w:val="008F6EF3"/>
    <w:rsid w:val="008F7A7F"/>
    <w:rsid w:val="00900F98"/>
    <w:rsid w:val="009158F5"/>
    <w:rsid w:val="00915B07"/>
    <w:rsid w:val="00916416"/>
    <w:rsid w:val="009170F7"/>
    <w:rsid w:val="00917AE7"/>
    <w:rsid w:val="0092232B"/>
    <w:rsid w:val="00934566"/>
    <w:rsid w:val="00947C4C"/>
    <w:rsid w:val="009529E3"/>
    <w:rsid w:val="0097059C"/>
    <w:rsid w:val="00970667"/>
    <w:rsid w:val="009714FA"/>
    <w:rsid w:val="0098035D"/>
    <w:rsid w:val="00991CAD"/>
    <w:rsid w:val="009A741C"/>
    <w:rsid w:val="009C17BE"/>
    <w:rsid w:val="009C3217"/>
    <w:rsid w:val="009C371D"/>
    <w:rsid w:val="009C691E"/>
    <w:rsid w:val="009C7289"/>
    <w:rsid w:val="009D1E6C"/>
    <w:rsid w:val="009D7FD2"/>
    <w:rsid w:val="009E4869"/>
    <w:rsid w:val="009F3A60"/>
    <w:rsid w:val="009F3C6F"/>
    <w:rsid w:val="00A057F6"/>
    <w:rsid w:val="00A10A09"/>
    <w:rsid w:val="00A1342D"/>
    <w:rsid w:val="00A16D9A"/>
    <w:rsid w:val="00A21425"/>
    <w:rsid w:val="00A2503A"/>
    <w:rsid w:val="00A261CC"/>
    <w:rsid w:val="00A3777A"/>
    <w:rsid w:val="00A40502"/>
    <w:rsid w:val="00A43A81"/>
    <w:rsid w:val="00A47972"/>
    <w:rsid w:val="00A50339"/>
    <w:rsid w:val="00A53006"/>
    <w:rsid w:val="00A6008C"/>
    <w:rsid w:val="00A6380F"/>
    <w:rsid w:val="00A65D13"/>
    <w:rsid w:val="00A70868"/>
    <w:rsid w:val="00A77248"/>
    <w:rsid w:val="00A7785F"/>
    <w:rsid w:val="00A80719"/>
    <w:rsid w:val="00A847F9"/>
    <w:rsid w:val="00A93459"/>
    <w:rsid w:val="00A9448E"/>
    <w:rsid w:val="00A96F17"/>
    <w:rsid w:val="00AA7492"/>
    <w:rsid w:val="00AB297A"/>
    <w:rsid w:val="00AC0733"/>
    <w:rsid w:val="00AC2C35"/>
    <w:rsid w:val="00AC465F"/>
    <w:rsid w:val="00AC4F96"/>
    <w:rsid w:val="00AC6B8F"/>
    <w:rsid w:val="00AD3FD1"/>
    <w:rsid w:val="00AD753A"/>
    <w:rsid w:val="00AE2826"/>
    <w:rsid w:val="00AE687D"/>
    <w:rsid w:val="00AE7F83"/>
    <w:rsid w:val="00AF504F"/>
    <w:rsid w:val="00AF6D18"/>
    <w:rsid w:val="00B029BB"/>
    <w:rsid w:val="00B03A45"/>
    <w:rsid w:val="00B07B2D"/>
    <w:rsid w:val="00B102CB"/>
    <w:rsid w:val="00B10BB6"/>
    <w:rsid w:val="00B13055"/>
    <w:rsid w:val="00B160C3"/>
    <w:rsid w:val="00B228A0"/>
    <w:rsid w:val="00B348DF"/>
    <w:rsid w:val="00B35EC7"/>
    <w:rsid w:val="00B4247E"/>
    <w:rsid w:val="00B5082A"/>
    <w:rsid w:val="00B57176"/>
    <w:rsid w:val="00B675AE"/>
    <w:rsid w:val="00B7066B"/>
    <w:rsid w:val="00B77313"/>
    <w:rsid w:val="00B827EB"/>
    <w:rsid w:val="00B910D9"/>
    <w:rsid w:val="00B92F21"/>
    <w:rsid w:val="00B94BF4"/>
    <w:rsid w:val="00B95E5E"/>
    <w:rsid w:val="00BA713A"/>
    <w:rsid w:val="00BB640E"/>
    <w:rsid w:val="00BC0D38"/>
    <w:rsid w:val="00BC1DB8"/>
    <w:rsid w:val="00BE07C9"/>
    <w:rsid w:val="00BF36B9"/>
    <w:rsid w:val="00BF42AC"/>
    <w:rsid w:val="00BF5D55"/>
    <w:rsid w:val="00C0706C"/>
    <w:rsid w:val="00C1030C"/>
    <w:rsid w:val="00C11BCA"/>
    <w:rsid w:val="00C14438"/>
    <w:rsid w:val="00C2550D"/>
    <w:rsid w:val="00C263DD"/>
    <w:rsid w:val="00C26EE9"/>
    <w:rsid w:val="00C33B7E"/>
    <w:rsid w:val="00C41413"/>
    <w:rsid w:val="00C425EC"/>
    <w:rsid w:val="00C44FB1"/>
    <w:rsid w:val="00C5435A"/>
    <w:rsid w:val="00C55057"/>
    <w:rsid w:val="00C57A93"/>
    <w:rsid w:val="00C621B0"/>
    <w:rsid w:val="00C639EA"/>
    <w:rsid w:val="00C65AC9"/>
    <w:rsid w:val="00C73FE9"/>
    <w:rsid w:val="00C861B5"/>
    <w:rsid w:val="00C8656E"/>
    <w:rsid w:val="00C902F3"/>
    <w:rsid w:val="00C94F5D"/>
    <w:rsid w:val="00CA032A"/>
    <w:rsid w:val="00CA5207"/>
    <w:rsid w:val="00CA5B97"/>
    <w:rsid w:val="00CA606E"/>
    <w:rsid w:val="00CA6C16"/>
    <w:rsid w:val="00CB02C4"/>
    <w:rsid w:val="00CB51F9"/>
    <w:rsid w:val="00CC15F8"/>
    <w:rsid w:val="00CC30C1"/>
    <w:rsid w:val="00CC5959"/>
    <w:rsid w:val="00CD6BD8"/>
    <w:rsid w:val="00CE4D1C"/>
    <w:rsid w:val="00CE58A7"/>
    <w:rsid w:val="00CE5B59"/>
    <w:rsid w:val="00CE5F0F"/>
    <w:rsid w:val="00CF4B05"/>
    <w:rsid w:val="00D00145"/>
    <w:rsid w:val="00D10164"/>
    <w:rsid w:val="00D32758"/>
    <w:rsid w:val="00D34F6A"/>
    <w:rsid w:val="00D410FD"/>
    <w:rsid w:val="00D44647"/>
    <w:rsid w:val="00D459E7"/>
    <w:rsid w:val="00D5031C"/>
    <w:rsid w:val="00D50EA6"/>
    <w:rsid w:val="00D5121C"/>
    <w:rsid w:val="00D65214"/>
    <w:rsid w:val="00D67824"/>
    <w:rsid w:val="00D75996"/>
    <w:rsid w:val="00D83956"/>
    <w:rsid w:val="00D851B2"/>
    <w:rsid w:val="00D97344"/>
    <w:rsid w:val="00DA5E21"/>
    <w:rsid w:val="00DB474F"/>
    <w:rsid w:val="00DB70AC"/>
    <w:rsid w:val="00DC0111"/>
    <w:rsid w:val="00DC0671"/>
    <w:rsid w:val="00DC3758"/>
    <w:rsid w:val="00DC52D3"/>
    <w:rsid w:val="00DD1451"/>
    <w:rsid w:val="00DD66AD"/>
    <w:rsid w:val="00DE160E"/>
    <w:rsid w:val="00DE55A2"/>
    <w:rsid w:val="00DE6F07"/>
    <w:rsid w:val="00DF1209"/>
    <w:rsid w:val="00DF2DF8"/>
    <w:rsid w:val="00E1093E"/>
    <w:rsid w:val="00E119D2"/>
    <w:rsid w:val="00E364BD"/>
    <w:rsid w:val="00E426BE"/>
    <w:rsid w:val="00E43950"/>
    <w:rsid w:val="00E43F1F"/>
    <w:rsid w:val="00E5756B"/>
    <w:rsid w:val="00E64CB8"/>
    <w:rsid w:val="00E87F42"/>
    <w:rsid w:val="00EA3B13"/>
    <w:rsid w:val="00EA75CB"/>
    <w:rsid w:val="00EB357D"/>
    <w:rsid w:val="00EB5E59"/>
    <w:rsid w:val="00EB7841"/>
    <w:rsid w:val="00EC50BB"/>
    <w:rsid w:val="00ED6DC2"/>
    <w:rsid w:val="00EE3062"/>
    <w:rsid w:val="00EE6744"/>
    <w:rsid w:val="00EF0D28"/>
    <w:rsid w:val="00F01B95"/>
    <w:rsid w:val="00F06BFC"/>
    <w:rsid w:val="00F07648"/>
    <w:rsid w:val="00F110C3"/>
    <w:rsid w:val="00F132D9"/>
    <w:rsid w:val="00F2083A"/>
    <w:rsid w:val="00F21177"/>
    <w:rsid w:val="00F2459B"/>
    <w:rsid w:val="00F24FCD"/>
    <w:rsid w:val="00F349C7"/>
    <w:rsid w:val="00F40A8E"/>
    <w:rsid w:val="00F43E34"/>
    <w:rsid w:val="00F5016C"/>
    <w:rsid w:val="00F51E62"/>
    <w:rsid w:val="00F53729"/>
    <w:rsid w:val="00F553ED"/>
    <w:rsid w:val="00F701AC"/>
    <w:rsid w:val="00F73C1A"/>
    <w:rsid w:val="00F74961"/>
    <w:rsid w:val="00F814A7"/>
    <w:rsid w:val="00F81C7A"/>
    <w:rsid w:val="00F953BB"/>
    <w:rsid w:val="00F96BEA"/>
    <w:rsid w:val="00FA0231"/>
    <w:rsid w:val="00FA2B76"/>
    <w:rsid w:val="00FA2BDC"/>
    <w:rsid w:val="00FA4A52"/>
    <w:rsid w:val="00FA5B8E"/>
    <w:rsid w:val="00FB0F6B"/>
    <w:rsid w:val="00FC2E5B"/>
    <w:rsid w:val="00FC7154"/>
    <w:rsid w:val="00FD0FDD"/>
    <w:rsid w:val="00FD3B93"/>
    <w:rsid w:val="00FD4606"/>
    <w:rsid w:val="00FE78A9"/>
    <w:rsid w:val="00FF0F2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F7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1D4"/>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A2BD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FA2BDC"/>
    <w:pPr>
      <w:tabs>
        <w:tab w:val="center" w:pos="4536"/>
        <w:tab w:val="right" w:pos="9072"/>
      </w:tabs>
      <w:spacing w:after="0" w:line="240" w:lineRule="auto"/>
    </w:pPr>
  </w:style>
  <w:style w:type="character" w:customStyle="1" w:styleId="HeaderChar">
    <w:name w:val="Header Char"/>
    <w:basedOn w:val="DefaultParagraphFont"/>
    <w:link w:val="Header"/>
    <w:locked/>
    <w:rsid w:val="00FA2BDC"/>
    <w:rPr>
      <w:rFonts w:cs="Times New Roman"/>
    </w:rPr>
  </w:style>
  <w:style w:type="paragraph" w:styleId="Footer">
    <w:name w:val="footer"/>
    <w:basedOn w:val="Normal"/>
    <w:link w:val="FooterChar"/>
    <w:uiPriority w:val="99"/>
    <w:rsid w:val="00FA2BDC"/>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FA2BDC"/>
    <w:rPr>
      <w:rFonts w:cs="Times New Roman"/>
    </w:rPr>
  </w:style>
  <w:style w:type="character" w:styleId="Hyperlink">
    <w:name w:val="Hyperlink"/>
    <w:basedOn w:val="DefaultParagraphFont"/>
    <w:uiPriority w:val="99"/>
    <w:semiHidden/>
    <w:rsid w:val="00352F24"/>
    <w:rPr>
      <w:rFonts w:cs="Times New Roman"/>
    </w:rPr>
  </w:style>
  <w:style w:type="character" w:customStyle="1" w:styleId="salnbdy">
    <w:name w:val="s_aln_bdy"/>
    <w:basedOn w:val="DefaultParagraphFont"/>
    <w:uiPriority w:val="99"/>
    <w:rsid w:val="00352F24"/>
    <w:rPr>
      <w:rFonts w:ascii="Verdana" w:hAnsi="Verdana" w:cs="Times New Roman"/>
      <w:color w:val="000000"/>
      <w:sz w:val="20"/>
      <w:szCs w:val="20"/>
      <w:shd w:val="clear" w:color="auto" w:fill="FFFFFF"/>
    </w:rPr>
  </w:style>
  <w:style w:type="character" w:customStyle="1" w:styleId="slgi1">
    <w:name w:val="s_lgi1"/>
    <w:basedOn w:val="DefaultParagraphFont"/>
    <w:uiPriority w:val="99"/>
    <w:rsid w:val="00352F24"/>
    <w:rPr>
      <w:rFonts w:ascii="Verdana" w:hAnsi="Verdana" w:cs="Times New Roman"/>
      <w:color w:val="006400"/>
      <w:sz w:val="20"/>
      <w:szCs w:val="20"/>
      <w:u w:val="single"/>
      <w:shd w:val="clear" w:color="auto" w:fill="FFFFFF"/>
    </w:rPr>
  </w:style>
  <w:style w:type="character" w:customStyle="1" w:styleId="salnttl1">
    <w:name w:val="s_aln_ttl1"/>
    <w:basedOn w:val="DefaultParagraphFont"/>
    <w:uiPriority w:val="99"/>
    <w:rsid w:val="001D38C7"/>
    <w:rPr>
      <w:rFonts w:ascii="Verdana" w:hAnsi="Verdana" w:cs="Times New Roman"/>
      <w:b/>
      <w:bCs/>
      <w:color w:val="8B0000"/>
      <w:sz w:val="20"/>
      <w:szCs w:val="20"/>
      <w:shd w:val="clear" w:color="auto" w:fill="FFFFFF"/>
    </w:rPr>
  </w:style>
  <w:style w:type="character" w:customStyle="1" w:styleId="slitbdy">
    <w:name w:val="s_lit_bdy"/>
    <w:basedOn w:val="DefaultParagraphFont"/>
    <w:uiPriority w:val="99"/>
    <w:rsid w:val="005215E4"/>
    <w:rPr>
      <w:rFonts w:ascii="Verdana" w:hAnsi="Verdana" w:cs="Times New Roman"/>
      <w:color w:val="000000"/>
      <w:sz w:val="20"/>
      <w:szCs w:val="20"/>
      <w:shd w:val="clear" w:color="auto" w:fill="FFFFFF"/>
    </w:rPr>
  </w:style>
  <w:style w:type="paragraph" w:customStyle="1" w:styleId="slit">
    <w:name w:val="s_lit"/>
    <w:basedOn w:val="Normal"/>
    <w:uiPriority w:val="99"/>
    <w:semiHidden/>
    <w:rsid w:val="005215E4"/>
    <w:pPr>
      <w:pBdr>
        <w:top w:val="dotted" w:sz="6" w:space="0" w:color="FEFEFE"/>
        <w:left w:val="dotted" w:sz="6" w:space="11" w:color="FEFEFE"/>
        <w:bottom w:val="dotted" w:sz="6" w:space="0" w:color="FEFEFE"/>
        <w:right w:val="dotted" w:sz="6" w:space="0" w:color="FEFEFE"/>
      </w:pBdr>
      <w:spacing w:after="0" w:line="240" w:lineRule="auto"/>
      <w:ind w:left="225"/>
    </w:pPr>
    <w:rPr>
      <w:rFonts w:ascii="Times New Roman" w:eastAsia="Times New Roman" w:hAnsi="Times New Roman"/>
      <w:sz w:val="24"/>
      <w:szCs w:val="24"/>
      <w:lang w:val="en-US"/>
    </w:rPr>
  </w:style>
  <w:style w:type="paragraph" w:styleId="ListParagraph">
    <w:name w:val="List Paragraph"/>
    <w:aliases w:val="body 2,List_Paragraph,Multilevel para_II,Normal bullet 2,Table of contents numbered,List1,List Paragraph1,lp1,Heading x1"/>
    <w:basedOn w:val="Normal"/>
    <w:link w:val="ListParagraphChar"/>
    <w:uiPriority w:val="34"/>
    <w:qFormat/>
    <w:rsid w:val="00747E15"/>
    <w:pPr>
      <w:ind w:left="720"/>
      <w:contextualSpacing/>
    </w:pPr>
  </w:style>
  <w:style w:type="character" w:customStyle="1" w:styleId="spctbdy">
    <w:name w:val="s_pct_bdy"/>
    <w:basedOn w:val="DefaultParagraphFont"/>
    <w:rsid w:val="00DC0671"/>
    <w:rPr>
      <w:rFonts w:ascii="Verdana" w:hAnsi="Verdana" w:cs="Times New Roman"/>
      <w:color w:val="000000"/>
      <w:sz w:val="20"/>
      <w:szCs w:val="20"/>
      <w:shd w:val="clear" w:color="auto" w:fill="FFFFFF"/>
    </w:rPr>
  </w:style>
  <w:style w:type="paragraph" w:styleId="BalloonText">
    <w:name w:val="Balloon Text"/>
    <w:basedOn w:val="Normal"/>
    <w:link w:val="BalloonTextChar"/>
    <w:uiPriority w:val="99"/>
    <w:semiHidden/>
    <w:rsid w:val="00AC6B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C6B8F"/>
    <w:rPr>
      <w:rFonts w:ascii="Tahoma" w:hAnsi="Tahoma" w:cs="Tahoma"/>
      <w:sz w:val="16"/>
      <w:szCs w:val="16"/>
    </w:rPr>
  </w:style>
  <w:style w:type="paragraph" w:styleId="PlainText">
    <w:name w:val="Plain Text"/>
    <w:basedOn w:val="Normal"/>
    <w:link w:val="PlainTextChar"/>
    <w:uiPriority w:val="99"/>
    <w:rsid w:val="00970667"/>
    <w:pPr>
      <w:spacing w:after="0" w:line="240" w:lineRule="auto"/>
    </w:pPr>
    <w:rPr>
      <w:szCs w:val="21"/>
      <w:lang w:val="en-US"/>
    </w:rPr>
  </w:style>
  <w:style w:type="character" w:customStyle="1" w:styleId="PlainTextChar">
    <w:name w:val="Plain Text Char"/>
    <w:basedOn w:val="DefaultParagraphFont"/>
    <w:link w:val="PlainText"/>
    <w:uiPriority w:val="99"/>
    <w:locked/>
    <w:rsid w:val="00970667"/>
    <w:rPr>
      <w:rFonts w:ascii="Calibri" w:hAnsi="Calibri" w:cs="Times New Roman"/>
      <w:sz w:val="21"/>
      <w:szCs w:val="21"/>
      <w:lang w:val="en-US"/>
    </w:rPr>
  </w:style>
  <w:style w:type="paragraph" w:styleId="NormalWeb">
    <w:name w:val="Normal (Web)"/>
    <w:basedOn w:val="Normal"/>
    <w:uiPriority w:val="99"/>
    <w:rsid w:val="00B77313"/>
    <w:pPr>
      <w:spacing w:before="100" w:beforeAutospacing="1" w:after="100" w:afterAutospacing="1" w:line="240" w:lineRule="auto"/>
    </w:pPr>
    <w:rPr>
      <w:rFonts w:ascii="Times New Roman" w:eastAsia="Times New Roman" w:hAnsi="Times New Roman"/>
      <w:sz w:val="24"/>
      <w:szCs w:val="24"/>
      <w:lang w:eastAsia="ro-RO"/>
    </w:rPr>
  </w:style>
  <w:style w:type="paragraph" w:styleId="CommentText">
    <w:name w:val="annotation text"/>
    <w:basedOn w:val="Normal"/>
    <w:link w:val="CommentTextChar"/>
    <w:uiPriority w:val="99"/>
    <w:semiHidden/>
    <w:rsid w:val="00C639EA"/>
    <w:pPr>
      <w:spacing w:line="240" w:lineRule="auto"/>
    </w:pPr>
    <w:rPr>
      <w:sz w:val="20"/>
      <w:szCs w:val="20"/>
    </w:rPr>
  </w:style>
  <w:style w:type="character" w:customStyle="1" w:styleId="CommentTextChar">
    <w:name w:val="Comment Text Char"/>
    <w:basedOn w:val="DefaultParagraphFont"/>
    <w:link w:val="CommentText"/>
    <w:uiPriority w:val="99"/>
    <w:semiHidden/>
    <w:locked/>
    <w:rsid w:val="00C639EA"/>
    <w:rPr>
      <w:rFonts w:cs="Times New Roman"/>
      <w:sz w:val="20"/>
      <w:szCs w:val="20"/>
    </w:rPr>
  </w:style>
  <w:style w:type="character" w:styleId="CommentReference">
    <w:name w:val="annotation reference"/>
    <w:basedOn w:val="DefaultParagraphFont"/>
    <w:uiPriority w:val="99"/>
    <w:semiHidden/>
    <w:rsid w:val="006069F9"/>
    <w:rPr>
      <w:rFonts w:cs="Times New Roman"/>
      <w:sz w:val="16"/>
      <w:szCs w:val="16"/>
    </w:rPr>
  </w:style>
  <w:style w:type="paragraph" w:styleId="CommentSubject">
    <w:name w:val="annotation subject"/>
    <w:basedOn w:val="CommentText"/>
    <w:next w:val="CommentText"/>
    <w:link w:val="CommentSubjectChar"/>
    <w:uiPriority w:val="99"/>
    <w:semiHidden/>
    <w:rsid w:val="006069F9"/>
    <w:rPr>
      <w:b/>
      <w:bCs/>
    </w:rPr>
  </w:style>
  <w:style w:type="character" w:customStyle="1" w:styleId="CommentSubjectChar">
    <w:name w:val="Comment Subject Char"/>
    <w:basedOn w:val="CommentTextChar"/>
    <w:link w:val="CommentSubject"/>
    <w:uiPriority w:val="99"/>
    <w:semiHidden/>
    <w:locked/>
    <w:rsid w:val="006069F9"/>
    <w:rPr>
      <w:rFonts w:cs="Times New Roman"/>
      <w:b/>
      <w:bCs/>
      <w:sz w:val="20"/>
      <w:szCs w:val="20"/>
    </w:rPr>
  </w:style>
  <w:style w:type="character" w:customStyle="1" w:styleId="panchor">
    <w:name w:val="panchor"/>
    <w:basedOn w:val="DefaultParagraphFont"/>
    <w:rsid w:val="000933B8"/>
  </w:style>
  <w:style w:type="paragraph" w:styleId="BodyText">
    <w:name w:val="Body Text"/>
    <w:basedOn w:val="Normal"/>
    <w:link w:val="BodyTextChar"/>
    <w:uiPriority w:val="99"/>
    <w:unhideWhenUsed/>
    <w:rsid w:val="00486235"/>
    <w:pPr>
      <w:spacing w:after="120" w:line="240" w:lineRule="auto"/>
    </w:pPr>
    <w:rPr>
      <w:color w:val="000000"/>
      <w:szCs w:val="20"/>
      <w:lang w:val="en-US" w:bidi="en-US"/>
    </w:rPr>
  </w:style>
  <w:style w:type="character" w:customStyle="1" w:styleId="BodyTextChar">
    <w:name w:val="Body Text Char"/>
    <w:basedOn w:val="DefaultParagraphFont"/>
    <w:link w:val="BodyText"/>
    <w:uiPriority w:val="99"/>
    <w:rsid w:val="00486235"/>
    <w:rPr>
      <w:color w:val="000000"/>
      <w:szCs w:val="20"/>
      <w:lang w:val="en-US" w:eastAsia="en-US" w:bidi="en-US"/>
    </w:rPr>
  </w:style>
  <w:style w:type="character" w:customStyle="1" w:styleId="ListParagraphChar">
    <w:name w:val="List Paragraph Char"/>
    <w:aliases w:val="body 2 Char,List_Paragraph Char,Multilevel para_II Char,Normal bullet 2 Char,Table of contents numbered Char,List1 Char,List Paragraph1 Char,lp1 Char,Heading x1 Char"/>
    <w:link w:val="ListParagraph"/>
    <w:uiPriority w:val="34"/>
    <w:locked/>
    <w:rsid w:val="00192868"/>
    <w:rPr>
      <w:lang w:eastAsia="en-US"/>
    </w:rPr>
  </w:style>
  <w:style w:type="paragraph" w:styleId="NoSpacing">
    <w:name w:val="No Spacing"/>
    <w:link w:val="NoSpacingChar"/>
    <w:qFormat/>
    <w:rsid w:val="007F620B"/>
    <w:rPr>
      <w:lang w:val="en-US" w:eastAsia="en-US"/>
    </w:rPr>
  </w:style>
  <w:style w:type="character" w:customStyle="1" w:styleId="NoSpacingChar">
    <w:name w:val="No Spacing Char"/>
    <w:link w:val="NoSpacing"/>
    <w:locked/>
    <w:rsid w:val="007F620B"/>
    <w:rPr>
      <w:lang w:val="en-US" w:eastAsia="en-US"/>
    </w:rPr>
  </w:style>
  <w:style w:type="paragraph" w:customStyle="1" w:styleId="Default">
    <w:name w:val="Default"/>
    <w:rsid w:val="00B7066B"/>
    <w:pPr>
      <w:autoSpaceDE w:val="0"/>
      <w:autoSpaceDN w:val="0"/>
      <w:adjustRightInd w:val="0"/>
    </w:pPr>
    <w:rPr>
      <w:rFonts w:ascii="Times New Roman" w:eastAsia="Times New Roman" w:hAnsi="Times New Roman"/>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1D4"/>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A2BD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FA2BDC"/>
    <w:pPr>
      <w:tabs>
        <w:tab w:val="center" w:pos="4536"/>
        <w:tab w:val="right" w:pos="9072"/>
      </w:tabs>
      <w:spacing w:after="0" w:line="240" w:lineRule="auto"/>
    </w:pPr>
  </w:style>
  <w:style w:type="character" w:customStyle="1" w:styleId="HeaderChar">
    <w:name w:val="Header Char"/>
    <w:basedOn w:val="DefaultParagraphFont"/>
    <w:link w:val="Header"/>
    <w:locked/>
    <w:rsid w:val="00FA2BDC"/>
    <w:rPr>
      <w:rFonts w:cs="Times New Roman"/>
    </w:rPr>
  </w:style>
  <w:style w:type="paragraph" w:styleId="Footer">
    <w:name w:val="footer"/>
    <w:basedOn w:val="Normal"/>
    <w:link w:val="FooterChar"/>
    <w:uiPriority w:val="99"/>
    <w:rsid w:val="00FA2BDC"/>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FA2BDC"/>
    <w:rPr>
      <w:rFonts w:cs="Times New Roman"/>
    </w:rPr>
  </w:style>
  <w:style w:type="character" w:styleId="Hyperlink">
    <w:name w:val="Hyperlink"/>
    <w:basedOn w:val="DefaultParagraphFont"/>
    <w:uiPriority w:val="99"/>
    <w:semiHidden/>
    <w:rsid w:val="00352F24"/>
    <w:rPr>
      <w:rFonts w:cs="Times New Roman"/>
    </w:rPr>
  </w:style>
  <w:style w:type="character" w:customStyle="1" w:styleId="salnbdy">
    <w:name w:val="s_aln_bdy"/>
    <w:basedOn w:val="DefaultParagraphFont"/>
    <w:uiPriority w:val="99"/>
    <w:rsid w:val="00352F24"/>
    <w:rPr>
      <w:rFonts w:ascii="Verdana" w:hAnsi="Verdana" w:cs="Times New Roman"/>
      <w:color w:val="000000"/>
      <w:sz w:val="20"/>
      <w:szCs w:val="20"/>
      <w:shd w:val="clear" w:color="auto" w:fill="FFFFFF"/>
    </w:rPr>
  </w:style>
  <w:style w:type="character" w:customStyle="1" w:styleId="slgi1">
    <w:name w:val="s_lgi1"/>
    <w:basedOn w:val="DefaultParagraphFont"/>
    <w:uiPriority w:val="99"/>
    <w:rsid w:val="00352F24"/>
    <w:rPr>
      <w:rFonts w:ascii="Verdana" w:hAnsi="Verdana" w:cs="Times New Roman"/>
      <w:color w:val="006400"/>
      <w:sz w:val="20"/>
      <w:szCs w:val="20"/>
      <w:u w:val="single"/>
      <w:shd w:val="clear" w:color="auto" w:fill="FFFFFF"/>
    </w:rPr>
  </w:style>
  <w:style w:type="character" w:customStyle="1" w:styleId="salnttl1">
    <w:name w:val="s_aln_ttl1"/>
    <w:basedOn w:val="DefaultParagraphFont"/>
    <w:uiPriority w:val="99"/>
    <w:rsid w:val="001D38C7"/>
    <w:rPr>
      <w:rFonts w:ascii="Verdana" w:hAnsi="Verdana" w:cs="Times New Roman"/>
      <w:b/>
      <w:bCs/>
      <w:color w:val="8B0000"/>
      <w:sz w:val="20"/>
      <w:szCs w:val="20"/>
      <w:shd w:val="clear" w:color="auto" w:fill="FFFFFF"/>
    </w:rPr>
  </w:style>
  <w:style w:type="character" w:customStyle="1" w:styleId="slitbdy">
    <w:name w:val="s_lit_bdy"/>
    <w:basedOn w:val="DefaultParagraphFont"/>
    <w:uiPriority w:val="99"/>
    <w:rsid w:val="005215E4"/>
    <w:rPr>
      <w:rFonts w:ascii="Verdana" w:hAnsi="Verdana" w:cs="Times New Roman"/>
      <w:color w:val="000000"/>
      <w:sz w:val="20"/>
      <w:szCs w:val="20"/>
      <w:shd w:val="clear" w:color="auto" w:fill="FFFFFF"/>
    </w:rPr>
  </w:style>
  <w:style w:type="paragraph" w:customStyle="1" w:styleId="slit">
    <w:name w:val="s_lit"/>
    <w:basedOn w:val="Normal"/>
    <w:uiPriority w:val="99"/>
    <w:semiHidden/>
    <w:rsid w:val="005215E4"/>
    <w:pPr>
      <w:pBdr>
        <w:top w:val="dotted" w:sz="6" w:space="0" w:color="FEFEFE"/>
        <w:left w:val="dotted" w:sz="6" w:space="11" w:color="FEFEFE"/>
        <w:bottom w:val="dotted" w:sz="6" w:space="0" w:color="FEFEFE"/>
        <w:right w:val="dotted" w:sz="6" w:space="0" w:color="FEFEFE"/>
      </w:pBdr>
      <w:spacing w:after="0" w:line="240" w:lineRule="auto"/>
      <w:ind w:left="225"/>
    </w:pPr>
    <w:rPr>
      <w:rFonts w:ascii="Times New Roman" w:eastAsia="Times New Roman" w:hAnsi="Times New Roman"/>
      <w:sz w:val="24"/>
      <w:szCs w:val="24"/>
      <w:lang w:val="en-US"/>
    </w:rPr>
  </w:style>
  <w:style w:type="paragraph" w:styleId="ListParagraph">
    <w:name w:val="List Paragraph"/>
    <w:aliases w:val="body 2,List_Paragraph,Multilevel para_II,Normal bullet 2,Table of contents numbered,List1,List Paragraph1,lp1,Heading x1"/>
    <w:basedOn w:val="Normal"/>
    <w:link w:val="ListParagraphChar"/>
    <w:uiPriority w:val="34"/>
    <w:qFormat/>
    <w:rsid w:val="00747E15"/>
    <w:pPr>
      <w:ind w:left="720"/>
      <w:contextualSpacing/>
    </w:pPr>
  </w:style>
  <w:style w:type="character" w:customStyle="1" w:styleId="spctbdy">
    <w:name w:val="s_pct_bdy"/>
    <w:basedOn w:val="DefaultParagraphFont"/>
    <w:rsid w:val="00DC0671"/>
    <w:rPr>
      <w:rFonts w:ascii="Verdana" w:hAnsi="Verdana" w:cs="Times New Roman"/>
      <w:color w:val="000000"/>
      <w:sz w:val="20"/>
      <w:szCs w:val="20"/>
      <w:shd w:val="clear" w:color="auto" w:fill="FFFFFF"/>
    </w:rPr>
  </w:style>
  <w:style w:type="paragraph" w:styleId="BalloonText">
    <w:name w:val="Balloon Text"/>
    <w:basedOn w:val="Normal"/>
    <w:link w:val="BalloonTextChar"/>
    <w:uiPriority w:val="99"/>
    <w:semiHidden/>
    <w:rsid w:val="00AC6B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C6B8F"/>
    <w:rPr>
      <w:rFonts w:ascii="Tahoma" w:hAnsi="Tahoma" w:cs="Tahoma"/>
      <w:sz w:val="16"/>
      <w:szCs w:val="16"/>
    </w:rPr>
  </w:style>
  <w:style w:type="paragraph" w:styleId="PlainText">
    <w:name w:val="Plain Text"/>
    <w:basedOn w:val="Normal"/>
    <w:link w:val="PlainTextChar"/>
    <w:uiPriority w:val="99"/>
    <w:rsid w:val="00970667"/>
    <w:pPr>
      <w:spacing w:after="0" w:line="240" w:lineRule="auto"/>
    </w:pPr>
    <w:rPr>
      <w:szCs w:val="21"/>
      <w:lang w:val="en-US"/>
    </w:rPr>
  </w:style>
  <w:style w:type="character" w:customStyle="1" w:styleId="PlainTextChar">
    <w:name w:val="Plain Text Char"/>
    <w:basedOn w:val="DefaultParagraphFont"/>
    <w:link w:val="PlainText"/>
    <w:uiPriority w:val="99"/>
    <w:locked/>
    <w:rsid w:val="00970667"/>
    <w:rPr>
      <w:rFonts w:ascii="Calibri" w:hAnsi="Calibri" w:cs="Times New Roman"/>
      <w:sz w:val="21"/>
      <w:szCs w:val="21"/>
      <w:lang w:val="en-US"/>
    </w:rPr>
  </w:style>
  <w:style w:type="paragraph" w:styleId="NormalWeb">
    <w:name w:val="Normal (Web)"/>
    <w:basedOn w:val="Normal"/>
    <w:uiPriority w:val="99"/>
    <w:rsid w:val="00B77313"/>
    <w:pPr>
      <w:spacing w:before="100" w:beforeAutospacing="1" w:after="100" w:afterAutospacing="1" w:line="240" w:lineRule="auto"/>
    </w:pPr>
    <w:rPr>
      <w:rFonts w:ascii="Times New Roman" w:eastAsia="Times New Roman" w:hAnsi="Times New Roman"/>
      <w:sz w:val="24"/>
      <w:szCs w:val="24"/>
      <w:lang w:eastAsia="ro-RO"/>
    </w:rPr>
  </w:style>
  <w:style w:type="paragraph" w:styleId="CommentText">
    <w:name w:val="annotation text"/>
    <w:basedOn w:val="Normal"/>
    <w:link w:val="CommentTextChar"/>
    <w:uiPriority w:val="99"/>
    <w:semiHidden/>
    <w:rsid w:val="00C639EA"/>
    <w:pPr>
      <w:spacing w:line="240" w:lineRule="auto"/>
    </w:pPr>
    <w:rPr>
      <w:sz w:val="20"/>
      <w:szCs w:val="20"/>
    </w:rPr>
  </w:style>
  <w:style w:type="character" w:customStyle="1" w:styleId="CommentTextChar">
    <w:name w:val="Comment Text Char"/>
    <w:basedOn w:val="DefaultParagraphFont"/>
    <w:link w:val="CommentText"/>
    <w:uiPriority w:val="99"/>
    <w:semiHidden/>
    <w:locked/>
    <w:rsid w:val="00C639EA"/>
    <w:rPr>
      <w:rFonts w:cs="Times New Roman"/>
      <w:sz w:val="20"/>
      <w:szCs w:val="20"/>
    </w:rPr>
  </w:style>
  <w:style w:type="character" w:styleId="CommentReference">
    <w:name w:val="annotation reference"/>
    <w:basedOn w:val="DefaultParagraphFont"/>
    <w:uiPriority w:val="99"/>
    <w:semiHidden/>
    <w:rsid w:val="006069F9"/>
    <w:rPr>
      <w:rFonts w:cs="Times New Roman"/>
      <w:sz w:val="16"/>
      <w:szCs w:val="16"/>
    </w:rPr>
  </w:style>
  <w:style w:type="paragraph" w:styleId="CommentSubject">
    <w:name w:val="annotation subject"/>
    <w:basedOn w:val="CommentText"/>
    <w:next w:val="CommentText"/>
    <w:link w:val="CommentSubjectChar"/>
    <w:uiPriority w:val="99"/>
    <w:semiHidden/>
    <w:rsid w:val="006069F9"/>
    <w:rPr>
      <w:b/>
      <w:bCs/>
    </w:rPr>
  </w:style>
  <w:style w:type="character" w:customStyle="1" w:styleId="CommentSubjectChar">
    <w:name w:val="Comment Subject Char"/>
    <w:basedOn w:val="CommentTextChar"/>
    <w:link w:val="CommentSubject"/>
    <w:uiPriority w:val="99"/>
    <w:semiHidden/>
    <w:locked/>
    <w:rsid w:val="006069F9"/>
    <w:rPr>
      <w:rFonts w:cs="Times New Roman"/>
      <w:b/>
      <w:bCs/>
      <w:sz w:val="20"/>
      <w:szCs w:val="20"/>
    </w:rPr>
  </w:style>
  <w:style w:type="character" w:customStyle="1" w:styleId="panchor">
    <w:name w:val="panchor"/>
    <w:basedOn w:val="DefaultParagraphFont"/>
    <w:rsid w:val="000933B8"/>
  </w:style>
  <w:style w:type="paragraph" w:styleId="BodyText">
    <w:name w:val="Body Text"/>
    <w:basedOn w:val="Normal"/>
    <w:link w:val="BodyTextChar"/>
    <w:uiPriority w:val="99"/>
    <w:unhideWhenUsed/>
    <w:rsid w:val="00486235"/>
    <w:pPr>
      <w:spacing w:after="120" w:line="240" w:lineRule="auto"/>
    </w:pPr>
    <w:rPr>
      <w:color w:val="000000"/>
      <w:szCs w:val="20"/>
      <w:lang w:val="en-US" w:bidi="en-US"/>
    </w:rPr>
  </w:style>
  <w:style w:type="character" w:customStyle="1" w:styleId="BodyTextChar">
    <w:name w:val="Body Text Char"/>
    <w:basedOn w:val="DefaultParagraphFont"/>
    <w:link w:val="BodyText"/>
    <w:uiPriority w:val="99"/>
    <w:rsid w:val="00486235"/>
    <w:rPr>
      <w:color w:val="000000"/>
      <w:szCs w:val="20"/>
      <w:lang w:val="en-US" w:eastAsia="en-US" w:bidi="en-US"/>
    </w:rPr>
  </w:style>
  <w:style w:type="character" w:customStyle="1" w:styleId="ListParagraphChar">
    <w:name w:val="List Paragraph Char"/>
    <w:aliases w:val="body 2 Char,List_Paragraph Char,Multilevel para_II Char,Normal bullet 2 Char,Table of contents numbered Char,List1 Char,List Paragraph1 Char,lp1 Char,Heading x1 Char"/>
    <w:link w:val="ListParagraph"/>
    <w:uiPriority w:val="34"/>
    <w:locked/>
    <w:rsid w:val="00192868"/>
    <w:rPr>
      <w:lang w:eastAsia="en-US"/>
    </w:rPr>
  </w:style>
  <w:style w:type="paragraph" w:styleId="NoSpacing">
    <w:name w:val="No Spacing"/>
    <w:link w:val="NoSpacingChar"/>
    <w:qFormat/>
    <w:rsid w:val="007F620B"/>
    <w:rPr>
      <w:lang w:val="en-US" w:eastAsia="en-US"/>
    </w:rPr>
  </w:style>
  <w:style w:type="character" w:customStyle="1" w:styleId="NoSpacingChar">
    <w:name w:val="No Spacing Char"/>
    <w:link w:val="NoSpacing"/>
    <w:locked/>
    <w:rsid w:val="007F620B"/>
    <w:rPr>
      <w:lang w:val="en-US" w:eastAsia="en-US"/>
    </w:rPr>
  </w:style>
  <w:style w:type="paragraph" w:customStyle="1" w:styleId="Default">
    <w:name w:val="Default"/>
    <w:rsid w:val="00B7066B"/>
    <w:pPr>
      <w:autoSpaceDE w:val="0"/>
      <w:autoSpaceDN w:val="0"/>
      <w:adjustRightInd w:val="0"/>
    </w:pPr>
    <w:rPr>
      <w:rFonts w:ascii="Times New Roman" w:eastAsia="Times New Roman" w:hAnsi="Times New Roman"/>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788185">
      <w:bodyDiv w:val="1"/>
      <w:marLeft w:val="0"/>
      <w:marRight w:val="0"/>
      <w:marTop w:val="0"/>
      <w:marBottom w:val="0"/>
      <w:divBdr>
        <w:top w:val="none" w:sz="0" w:space="0" w:color="auto"/>
        <w:left w:val="none" w:sz="0" w:space="0" w:color="auto"/>
        <w:bottom w:val="none" w:sz="0" w:space="0" w:color="auto"/>
        <w:right w:val="none" w:sz="0" w:space="0" w:color="auto"/>
      </w:divBdr>
    </w:div>
    <w:div w:id="808743544">
      <w:marLeft w:val="0"/>
      <w:marRight w:val="0"/>
      <w:marTop w:val="0"/>
      <w:marBottom w:val="0"/>
      <w:divBdr>
        <w:top w:val="none" w:sz="0" w:space="0" w:color="auto"/>
        <w:left w:val="none" w:sz="0" w:space="0" w:color="auto"/>
        <w:bottom w:val="none" w:sz="0" w:space="0" w:color="auto"/>
        <w:right w:val="none" w:sz="0" w:space="0" w:color="auto"/>
      </w:divBdr>
    </w:div>
    <w:div w:id="920986957">
      <w:bodyDiv w:val="1"/>
      <w:marLeft w:val="0"/>
      <w:marRight w:val="0"/>
      <w:marTop w:val="0"/>
      <w:marBottom w:val="0"/>
      <w:divBdr>
        <w:top w:val="none" w:sz="0" w:space="0" w:color="auto"/>
        <w:left w:val="none" w:sz="0" w:space="0" w:color="auto"/>
        <w:bottom w:val="none" w:sz="0" w:space="0" w:color="auto"/>
        <w:right w:val="none" w:sz="0" w:space="0" w:color="auto"/>
      </w:divBdr>
    </w:div>
    <w:div w:id="1142581618">
      <w:bodyDiv w:val="1"/>
      <w:marLeft w:val="0"/>
      <w:marRight w:val="0"/>
      <w:marTop w:val="0"/>
      <w:marBottom w:val="0"/>
      <w:divBdr>
        <w:top w:val="none" w:sz="0" w:space="0" w:color="auto"/>
        <w:left w:val="none" w:sz="0" w:space="0" w:color="auto"/>
        <w:bottom w:val="none" w:sz="0" w:space="0" w:color="auto"/>
        <w:right w:val="none" w:sz="0" w:space="0" w:color="auto"/>
      </w:divBdr>
    </w:div>
    <w:div w:id="116223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fonduri-ue.ro/exchweb/bin/redir.asp?URL=https://lege5.ro/Gratuit/g44tinrwgm/ordonanta-de-urgenta-nr-40-2015-privind-gestionarea-financiara-a-fondurilor-europene-pentru-perioada-de-programare-2014-2020?pid=83377209%26d=2019-11-11%23p-833772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BF7693-7B12-46E6-9B03-567ED8AB6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7807</Words>
  <Characters>45284</Characters>
  <Application>Microsoft Office Word</Application>
  <DocSecurity>0</DocSecurity>
  <Lines>377</Lines>
  <Paragraphs>105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Nr</vt:lpstr>
      <vt:lpstr>Nr</vt:lpstr>
    </vt:vector>
  </TitlesOfParts>
  <Company/>
  <LinksUpToDate>false</LinksUpToDate>
  <CharactersWithSpaces>52986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Cristina Vasilica Balan</dc:creator>
  <cp:lastModifiedBy>Cristina Vasilica Balan</cp:lastModifiedBy>
  <cp:revision>5</cp:revision>
  <cp:lastPrinted>2019-11-25T09:15:00Z</cp:lastPrinted>
  <dcterms:created xsi:type="dcterms:W3CDTF">2019-11-26T12:05:00Z</dcterms:created>
  <dcterms:modified xsi:type="dcterms:W3CDTF">2019-11-26T12:13:00Z</dcterms:modified>
</cp:coreProperties>
</file>